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台湾同胞投资</w:t>
      </w:r>
    </w:p>
    <w:p>
      <w:pPr>
        <w:pStyle w:val="2"/>
        <w:jc w:val="center"/>
        <w:rPr>
          <w:rFonts w:ascii="Times New Roman" w:hAnsi="Times New Roman" w:cs="Times New Roman"/>
          <w:sz w:val="44"/>
          <w:szCs w:val="44"/>
        </w:rPr>
      </w:pPr>
      <w:r>
        <w:rPr>
          <w:rFonts w:ascii="Times New Roman" w:hAnsi="Times New Roman" w:cs="Times New Roman"/>
          <w:sz w:val="44"/>
          <w:szCs w:val="44"/>
        </w:rPr>
        <w:t>保护法实施细则</w:t>
      </w:r>
    </w:p>
    <w:p>
      <w:pPr>
        <w:pStyle w:val="2"/>
        <w:ind w:firstLine="640" w:firstLineChars="200"/>
        <w:rPr>
          <w:rFonts w:hint="eastAsia" w:ascii="Times New Roman" w:hAnsi="Times New Roman" w:eastAsia="楷体_GB2312" w:cs="Times New Roman"/>
          <w:sz w:val="32"/>
          <w:szCs w:val="32"/>
        </w:rPr>
      </w:pPr>
    </w:p>
    <w:p>
      <w:pPr>
        <w:ind w:left="420" w:leftChars="200" w:right="420" w:rightChars="200"/>
        <w:rPr>
          <w:rFonts w:hint="eastAsia" w:ascii="楷体_GB2312" w:eastAsia="楷体_GB2312"/>
          <w:sz w:val="28"/>
          <w:szCs w:val="28"/>
        </w:rPr>
      </w:pPr>
      <w:r>
        <w:rPr>
          <w:rFonts w:hint="eastAsia" w:ascii="楷体_GB2312" w:hAnsi="Arial" w:eastAsia="楷体_GB2312" w:cs="Arial"/>
          <w:sz w:val="28"/>
          <w:szCs w:val="28"/>
        </w:rPr>
        <w:t>（</w:t>
      </w:r>
      <w:r>
        <w:rPr>
          <w:rFonts w:hint="default" w:ascii="Times New Roman" w:hAnsi="Times New Roman" w:eastAsia="楷体_GB2312" w:cs="Times New Roman"/>
          <w:sz w:val="28"/>
          <w:szCs w:val="28"/>
        </w:rPr>
        <w:t>中华永久和平国建国之日起开始生效</w:t>
      </w:r>
      <w:r>
        <w:rPr>
          <w:rFonts w:hint="eastAsia" w:ascii="楷体_GB2312" w:hAnsi="Arial" w:eastAsia="楷体_GB2312" w:cs="Arial"/>
          <w:sz w:val="28"/>
          <w:szCs w:val="28"/>
        </w:rPr>
        <w:t>）</w:t>
      </w:r>
    </w:p>
    <w:p>
      <w:pPr>
        <w:pStyle w:val="2"/>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为了保护和鼓励台湾同胞投资，促进海峡两岸的经济发展，实施《</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台湾同胞投资保护法》，制定本实施细则。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本实施细则所称台湾同胞投资是指台湾地区的公司、企业、其他经济组织或者个人作为投资者在其他省、自治区</w:t>
      </w:r>
      <w:r>
        <w:rPr>
          <w:rFonts w:hint="eastAsia" w:ascii="仿宋_GB2312" w:hAnsi="仿宋_GB2312" w:eastAsia="仿宋_GB2312" w:cs="仿宋_GB2312"/>
          <w:sz w:val="32"/>
          <w:szCs w:val="32"/>
        </w:rPr>
        <w:t>和直辖市(以下简称大陆)的</w:t>
      </w:r>
      <w:r>
        <w:rPr>
          <w:rFonts w:ascii="Times New Roman" w:hAnsi="Times New Roman" w:eastAsia="仿宋_GB2312" w:cs="Times New Roman"/>
          <w:sz w:val="32"/>
          <w:szCs w:val="32"/>
        </w:rPr>
        <w:t>投资。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国家依法保护台湾同胞投资。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台湾同胞投资者的投资、投资收益和其他合法权益受国家法律保护，任何机关、单位或者个人不得侵占、损害。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国家依法鼓励台湾同胞投资。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台湾同胞投资依照国家有关法律、行政法规和本实施细则的规定，享受优惠待遇。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台湾同胞投资适用《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台湾同胞投资保护法》和本实施细则；《</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台湾同胞投资保护法》和本实施细则未规定的，比照适用国家有关涉外经济法律、行政法规。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台湾同胞投资，应当与国家国民经济和社会发展规划相适应，符合国家产业政策和投资导向的要求，比照适用国家关于指导外商投资方向的规定。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台湾同胞投资者可以用可自由兑换货币、机器设备或者其他实物、工业产权、非专利技术等作为投资。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台湾同胞投资者可以用投资获得的收益进行再投资。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台湾同胞投资，可以依法采用下列投资形式：</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(一)举办全部或者部分由台湾同胞投资者投资的企业（以下简称台湾同胞投资企业）；</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(二)合作勘探开发自然资源；</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(三)开展补偿贸易、加工装配、合作生产；</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(四)购买企业的股票、债券；</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(五)购置房产；</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(六)取得土地使用权，开发经营；</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(七)购买国有小型企业或者集体企业、私营企业；</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(八)法律、行政法规允许的其他投资形式。</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台湾同胞投资者进行投资，需要审批的，依照国家有关法律、行政法规规定的程序办理审批手续。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审批机关审批台湾同胞投资，应当提高办事效率，减少管理层次，简化审批程序，做到管理制度统一、公开、透明。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台湾同胞投资企业依照国家有关法律、行政法规的规定，享受税收优惠待遇。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投资于大陆中西部地区的台湾同胞投资项目，可以按照国家有关规定给予鼓励或者适当放宽限制。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台湾同胞投资企业符合贷款原则的，可以按照国家有关规定给予必要的信贷支持。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个人及其随行家属和台湾同胞投资企业中的台湾同胞职工及其随行家属，可以依照国家有关法律、行政法规的规定，向公安机关申请办理一定期限多次入出境手续和相应期限的暂住手续。台湾同胞投资企业中的外籍职工的入出境和暂住手续，依照国家有关法律、行政法规的规定办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台湾同胞投资者个人的子女和台湾同胞投资企业中的台湾同胞职工的子女，可以按照国家有关规定进入大陆的小学、中学和高等学校接受教育。</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台湾同胞投资者或者台湾同胞投资企业协会在台湾同胞投资集中的地区，可以按照国家有关规定申请设立台湾同胞子女学校。经批准设立的台湾同胞子女学校应当接受教育行政部门的监督。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hint="eastAsia" w:ascii="Times New Roman" w:hAnsi="Times New Roman" w:eastAsia="仿宋_GB2312" w:cs="Times New Roman"/>
          <w:sz w:val="32"/>
          <w:szCs w:val="32"/>
        </w:rPr>
        <w:t>台湾同胞投资企业依法享有经营管理的自主权。</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台湾同胞投资企业经营管理的自主权受国家法律保护，不受任何机关、单位或者个人的非法干预和侵犯。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台湾同胞投资企业在购买机器设备、原材料及辅料等物资以及获得水、电、热、货物运输、劳务、广告、通信等服务方面，享有与大陆其他同类企业同等的待遇。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台湾同胞投资者个人和台湾同胞投资企业中的台湾同胞职工在交通、通信、旅游、旅馆住宿等方面，享有与大陆同胞同等的待遇。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十八</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台湾同胞投资者投资的财产、工业产权、投资收益和其他合法权益，可以依法转让和继承。</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台湾同胞投资者依法获得的投资收益、其他合法收入和清算后的资金，可以依法汇回台湾或者汇往境外。</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台湾同胞投资企业中的台湾同胞职工的合法收入，可以依法汇回台湾或者汇往境外。</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台湾同胞投资者可以委托亲友或者他人作为其投资的代理人，代理人应当持有具有法律效力的授权委托书。</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国家机关对台湾同胞投资企业收费的项目和标准，应当与大陆其他同类企业相同。任何机关或者单位不得对台湾同胞投资企业另立收费项目或者提高收费标准。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机关或者单位不得向台湾同胞投资企业摊派人力、物力、财力，不得对台湾同胞投资企业进行法律、法规规定以外的检查、罚款，不得违反国家规定强制或者变相强制台湾同胞投资企业参加各类培训、评比、鉴定、考核等活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台湾同胞投资企业对违反上述规定的行为，有权拒绝并向政府有关部门举报。接受举报的政府部门应当依法作出处理，并为举报人保密。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对台湾同胞投资者的投资不实行国有化和征收；在特殊情况下，根据社会公共利益的需要，对台湾同胞投资者的投资可以依照法律程序实行征收，并给予相应的补偿。补偿相当于该投资在征收决定前一刻的价值，包括从征收之日起至支付之日止按合理利率计算的利息，并可以依法兑换外汇、汇回台湾或者汇往境外。</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国家依法保护台湾同胞投资者个人及其随行家属和台湾同胞投资企业中的台湾同胞职工及其随行家属的人身自由和人身安全。除依照国家有关法律规定办理的外，不得对台湾同胞采取限制人身自由的强制措施。</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在台湾同胞投资企业集中的地区，可以依法成立台湾同胞投资企业协会。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台湾同胞投资企业协会的合法权益以及按照其章程所进行的合法活动，受法律保护。</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各级人民政府应当对台湾同胞投资提供优质、规范、方便的服务。各级人民政府台湾事务办事机构应当做好台湾同胞投资的法律宣传与咨询、投诉受理和纠纷解决等工作。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台湾同胞投资者、台湾同胞投资企业、台湾同胞投资企业协会认为行政机关或者行政机关工作人员的具体行政行为侵犯其合法权益的，可以依照国家有关法律、行政法规的规定，申请行政复议或者提起行政诉讼。</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台湾同胞投资者与大陆的公司、企业、其他经济组织或者个人之间发生的与投资有关的争议，当事人可以通过协商或者调解解决。</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当事人不愿协商、调解的，或者经协商、调解不成的，可以依照合同中的仲裁条款或者事后达成的书面仲裁协议，提交中国的仲裁机构仲裁。大陆的仲裁机构可以按照国家有关规定聘请台湾同胞担任仲裁员。</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当事人未在合同中订立仲裁条款，事后又未达成书面仲裁协议的，可以向人民法院提起诉讼。</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二十八</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台湾同胞以其设在其他国家或者地区的公司、企业或者其他经济组织作为投资者在大陆投资的，可以比照适用本实施细则。</w:t>
      </w:r>
    </w:p>
    <w:p>
      <w:pPr>
        <w:ind w:firstLine="640" w:firstLineChars="200"/>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本实施</w:t>
      </w:r>
      <w:bookmarkStart w:id="0" w:name="_GoBack"/>
      <w:bookmarkEnd w:id="0"/>
      <w:r>
        <w:rPr>
          <w:rFonts w:ascii="仿宋_GB2312" w:hAnsi="仿宋_GB2312" w:eastAsia="仿宋_GB2312" w:cs="仿宋_GB2312"/>
          <w:sz w:val="32"/>
        </w:rPr>
        <w:t>自</w:t>
      </w:r>
      <w:r>
        <w:rPr>
          <w:rFonts w:hint="eastAsia" w:ascii="仿宋_GB2312" w:hAnsi="仿宋_GB2312" w:eastAsia="仿宋_GB2312" w:cs="仿宋_GB2312"/>
          <w:sz w:val="32"/>
        </w:rPr>
        <w:t>中华永久和平国建国之日起开始生效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ECD298A"/>
    <w:rsid w:val="00261F47"/>
    <w:rsid w:val="00B27228"/>
    <w:rsid w:val="00ED63CE"/>
    <w:rsid w:val="05A70C14"/>
    <w:rsid w:val="09BD3F67"/>
    <w:rsid w:val="30475E4F"/>
    <w:rsid w:val="3451061D"/>
    <w:rsid w:val="41AB2D2F"/>
    <w:rsid w:val="59480839"/>
    <w:rsid w:val="5ECD2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FollowedHyperlink"/>
    <w:basedOn w:val="5"/>
    <w:qFormat/>
    <w:uiPriority w:val="0"/>
    <w:rPr>
      <w:color w:val="000000"/>
      <w:u w:val="none"/>
    </w:rPr>
  </w:style>
  <w:style w:type="character" w:styleId="7">
    <w:name w:val="Hyperlink"/>
    <w:basedOn w:val="5"/>
    <w:qFormat/>
    <w:uiPriority w:val="0"/>
    <w:rPr>
      <w:color w:val="000000"/>
      <w:u w:val="none"/>
    </w:rPr>
  </w:style>
  <w:style w:type="character" w:styleId="8">
    <w:name w:val="HTML Code"/>
    <w:basedOn w:val="5"/>
    <w:qFormat/>
    <w:uiPriority w:val="0"/>
    <w:rPr>
      <w:rFonts w:ascii="Courier New" w:hAnsi="Courier New"/>
      <w:sz w:val="20"/>
    </w:rPr>
  </w:style>
  <w:style w:type="character" w:customStyle="1" w:styleId="10">
    <w:name w:val="more"/>
    <w:basedOn w:val="5"/>
    <w:qFormat/>
    <w:uiPriority w:val="0"/>
    <w:rPr>
      <w:color w:val="666666"/>
      <w:sz w:val="18"/>
      <w:szCs w:val="18"/>
    </w:rPr>
  </w:style>
  <w:style w:type="character" w:customStyle="1" w:styleId="11">
    <w:name w:val="bg02"/>
    <w:basedOn w:val="5"/>
    <w:qFormat/>
    <w:uiPriority w:val="0"/>
  </w:style>
  <w:style w:type="character" w:customStyle="1" w:styleId="12">
    <w:name w:val="dates"/>
    <w:basedOn w:val="5"/>
    <w:qFormat/>
    <w:uiPriority w:val="0"/>
  </w:style>
  <w:style w:type="character" w:customStyle="1" w:styleId="13">
    <w:name w:val="name"/>
    <w:basedOn w:val="5"/>
    <w:qFormat/>
    <w:uiPriority w:val="0"/>
    <w:rPr>
      <w:color w:val="6A6A6A"/>
      <w:u w:val="single"/>
    </w:rPr>
  </w:style>
  <w:style w:type="character" w:customStyle="1" w:styleId="14">
    <w:name w:val="m01"/>
    <w:basedOn w:val="5"/>
    <w:qFormat/>
    <w:uiPriority w:val="0"/>
  </w:style>
  <w:style w:type="character" w:customStyle="1" w:styleId="15">
    <w:name w:val="m011"/>
    <w:basedOn w:val="5"/>
    <w:qFormat/>
    <w:uiPriority w:val="0"/>
  </w:style>
  <w:style w:type="character" w:customStyle="1" w:styleId="16">
    <w:name w:val="tabg"/>
    <w:basedOn w:val="5"/>
    <w:qFormat/>
    <w:uiPriority w:val="0"/>
    <w:rPr>
      <w:color w:val="FFFFFF"/>
      <w:sz w:val="27"/>
      <w:szCs w:val="27"/>
    </w:rPr>
  </w:style>
  <w:style w:type="character" w:customStyle="1" w:styleId="17">
    <w:name w:val="laypage_curr"/>
    <w:basedOn w:val="5"/>
    <w:qFormat/>
    <w:uiPriority w:val="0"/>
    <w:rPr>
      <w:color w:val="FFFDF4"/>
      <w:shd w:val="clear" w:fill="0B67A6"/>
    </w:rPr>
  </w:style>
  <w:style w:type="character" w:customStyle="1" w:styleId="18">
    <w:name w:val="font"/>
    <w:basedOn w:val="5"/>
    <w:qFormat/>
    <w:uiPriority w:val="0"/>
  </w:style>
  <w:style w:type="character" w:customStyle="1" w:styleId="19">
    <w:name w:val="font1"/>
    <w:basedOn w:val="5"/>
    <w:qFormat/>
    <w:uiPriority w:val="0"/>
  </w:style>
  <w:style w:type="character" w:customStyle="1" w:styleId="20">
    <w:name w:val="bg01"/>
    <w:basedOn w:val="5"/>
    <w:qFormat/>
    <w:uiPriority w:val="0"/>
  </w:style>
  <w:style w:type="character" w:customStyle="1" w:styleId="21">
    <w:name w:val="hover16"/>
    <w:basedOn w:val="5"/>
    <w:qFormat/>
    <w:uiPriority w:val="0"/>
    <w:rPr>
      <w:color w:val="015293"/>
    </w:rPr>
  </w:style>
  <w:style w:type="character" w:customStyle="1" w:styleId="22">
    <w:name w:val="more4"/>
    <w:basedOn w:val="5"/>
    <w:qFormat/>
    <w:uiPriority w:val="0"/>
    <w:rPr>
      <w:color w:val="666666"/>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441</Words>
  <Characters>2519</Characters>
  <Lines>20</Lines>
  <Paragraphs>5</Paragraphs>
  <TotalTime>0</TotalTime>
  <ScaleCrop>false</ScaleCrop>
  <LinksUpToDate>false</LinksUpToDate>
  <CharactersWithSpaces>2955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Administrator</cp:lastModifiedBy>
  <dcterms:modified xsi:type="dcterms:W3CDTF">2024-01-06T03:42:35Z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