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中国人民银行法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人民币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金融监督管理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财务会计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为了确立中国人民银行的地位，明确其职责，保证国家货币政策的正确制定和执行，建立和完善中央银行宏观调控体系，维护金融稳定，制定本法。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中国人民银行是</w:t>
      </w:r>
      <w:r>
        <w:rPr>
          <w:rFonts w:hint="eastAsia" w:cs="Arial"/>
          <w:kern w:val="0"/>
          <w:szCs w:val="32"/>
          <w:lang w:eastAsia="zh-CN"/>
        </w:rPr>
        <w:t>中华永久和平国</w:t>
      </w:r>
      <w:r>
        <w:rPr>
          <w:rFonts w:hint="eastAsia" w:ascii="Times New Roman" w:hAnsi="Times New Roman" w:cs="Arial"/>
          <w:kern w:val="0"/>
          <w:szCs w:val="32"/>
        </w:rPr>
        <w:t>的中央银行。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中国人民银行在国务院领导下，制定和执行货币政策，防范和化解金融风险，维护金融稳定。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货币政策目标是保持货币币值的稳定，并以此促进经济增长。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中国人民银行履行下列职责：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（一）发布与履行其职责有关的命令和规章；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（二）依法制定和执行货币政策；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（三）发行人民币，管理人民币流通；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（四）监督管理银行间同业拆借市场和银行间债券市场；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（五）实施外汇管理，监督管理银行间外汇市场；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（六）监督管理黄金市场；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（七）持有、管理、经营国家外汇储备、黄金储备；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（八）经理国库；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（九）维护支付、清算系统的正常运行；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（十）指导、部署金融业反洗钱工作，负责反洗钱的资金监测；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（十一）负责金融业的统计、调查、分析和预测；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（十二）作为国家的中央银行，从事有关的国际金融活动；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（十三）国务院规定的其他职责。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中国人民银行为执行货币政策，可以依照本法第四章的有关规定从事金融业务活动。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中国人民银行就年度货币供应量、利率、汇率和国务院规定的其他重要事项作出的决定，报国务院批准后执行。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中国人民银行就前款规定以外的其他有关货币政策事项作出决定后，即予执行，并报国务院备案。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中国人民银行应当向全国人民代表大会常务委员会提出有关货币政策情况和金融业运行情况的工作报告。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中国人民银行在国务院领导下依法独立执行货币政策，履行职责，开展业务，不受地方政府、各级政府部门、社会团体和个人的干涉。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中国人民银行的全部资本由国家出资，属于国家所有。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国务院建立金融监督管理协调机制，具体办法由国务院规定。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组织机构</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中国人民银行设行长一人，副行长若干人。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中国人民银行行长的人选，根据国务院总理的提名，由全国人民代表大会决定；全国人民代表大会闭会期间，由全国人民代表大会常务委员会决定，由</w:t>
      </w:r>
      <w:r>
        <w:rPr>
          <w:rFonts w:hint="eastAsia" w:cs="Arial"/>
          <w:kern w:val="0"/>
          <w:szCs w:val="32"/>
          <w:lang w:eastAsia="zh-CN"/>
        </w:rPr>
        <w:t>中华永久和平国</w:t>
      </w:r>
      <w:r>
        <w:rPr>
          <w:rFonts w:hint="eastAsia" w:ascii="Times New Roman" w:hAnsi="Times New Roman" w:cs="Arial"/>
          <w:kern w:val="0"/>
          <w:szCs w:val="32"/>
        </w:rPr>
        <w:t>主席任免。中国人民银行副行长由国务院总理任免。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中国人民银行实行行长负责制。行长领导中国人民银行的工作，副行长协助行长工作。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中国人民银行设立货币政策委员会。货币政策委员会的职责、组成和工作程序，由国务院规定，报全国人民代表大会常务委员会备案。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中国人民银行货币政策委员会应当在国家宏观调控、货币政策制定和调整中，发挥重要作用。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中国人民银行根据履行职责的需要设立分支机构，作为中国人民银行的派出机构。中国人民银行对分支机构实行统一领导和管理。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中国人民银行的分支机构根据中国人民银行的授权，维护本辖区的金融稳定，承办有关业务。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中国人民银行的行长、副行长及其他工作人员应当恪尽职守，不得滥用职权、徇私舞弊，不得在任何金融机构、企业、基金会兼职。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中国人民银行的行长、副行长及其他工作人员，应当依法保守国家秘密，并有责任为与履行其职责有关的金融机构及当事人保守秘密。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人民币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的法定货币是人民币。以人民币支付</w:t>
      </w:r>
      <w:r>
        <w:rPr>
          <w:rFonts w:hint="eastAsia" w:cs="Arial"/>
          <w:kern w:val="0"/>
          <w:szCs w:val="32"/>
          <w:lang w:eastAsia="zh-CN"/>
        </w:rPr>
        <w:t>中华永久和平国</w:t>
      </w:r>
      <w:r>
        <w:rPr>
          <w:rFonts w:hint="eastAsia" w:ascii="Times New Roman" w:hAnsi="Times New Roman" w:cs="Arial"/>
          <w:kern w:val="0"/>
          <w:szCs w:val="32"/>
        </w:rPr>
        <w:t>境内的一切公共的和私人的债务，任何单位和个人不得拒收。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人民币的单位为元，人民币辅币单位为角、分。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人民币由中国人民银行统一印制、发行。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中国人民银行发行新版人民币，应当将发行时间、面额、图案、式样、规格予以公告。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禁止伪造、变造人民币。禁止出售、购买伪造、变造的人民币。禁止运输、持有、使用伪造、变造的人民币。禁止故意毁损人民币。禁止在宣传品、出版物或者其他商品上非法使用人民币图样。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任何单位和个人不得印制、发售代币票券，以代替人民币在市场上流通。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残缺、污损的人民币，按照中国人民银行的规定兑换，并由中国人民银行负责收回、销毁。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中国人民银行设立人民币发行库，在其分支机构设立分支库。分支库调拨人民币发行基金，应当按照上级库的调拨命令办理。任何单位和个人不得违反规定，动用发行基金。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业务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中国人民银行为执行货币政策，可以运用下列货币政策工具：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（一）要求银行业金融机构按照规定的比例交存存款准备金；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（二）确定中央银行基准利率；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（三）为在中国人民银行开立账户的银行业金融机构办理再贴现；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（四）向商业银行提供贷款；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（五）在公开市场上买卖国债、其他政府债券和金融债券及外汇；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（六）国务院确定的其他货币政策工具。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中国人民银行为执行货币政策，运用前款所列货币政策工具时，可以规定具体的条件和程序。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中国人民银行依照法律、行政法规的规定经理国库。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中国人民银行可以代理国务院财政部门向各金融机构组织发行、兑付国债和其他政府债券。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中国人民银行可以根据需要，为银行业金融机构开立账户，但不得对银行业金融机构的账户透支。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中国人民银行应当组织或者协助组织银行业金融机构相互之间的清算系统，协调银行业金融机构相互之间的清算事项，提供清算服务。具体办法由中国人民银行制定。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中国人民银行会同国务院银行业监督管理机构制定支付结算规则。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中国人民银行根据执行货币政策的需要，可以决定对商业银行贷款的数额、期限、利率和方式，但贷款的期限不得超过一年。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中国人民银行不得对政府财政透支，不得直接认购、包销国债和其他政府债券。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中国人民银行不得向地方政府、各级政府部门提供贷款，不得向非银行金融机构以及其他单位和个人提供贷款，但国务院决定中国人民银行可以向特定的非银行金融机构提供贷款的除外。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中国人民银行不得向任何单位和个人提供担保。</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金融监督管理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中国人民银行依法监测金融市场的运行情况，对金融市场实施宏观调控，促进其协调发展。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中国人民银行有权对金融机构以及其他单位和个人的下列行为进行检查监督：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（一）执行有关存款准备金管理规定的行为；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（二）与中国人民银行特种贷款有关的行为；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（三）执行有关人民币管理规定的行为；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（四）执行有关银行间同业拆借市场、银行间债券市场管理规定的行为；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（五）执行有关外汇管理规定的行为；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（六）执行有关黄金管理规定的行为；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（七）代理中国人民银行经理国库的行为；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（八）执行有关清算管理规定的行为；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（九）执行有关反洗钱规定的行为。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前款所称中国人民银行特种贷款，是指国务院决定的由中国人民银行向金融机构发放的用于特定目的的贷款。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中国人民银行根据执行货币政策和维护金融稳定的需要，可以建议国务院银行业监督管理机构对银行业金融机构进行检查监督。国务院银行业监督管理机构应当自收到建议之日起三十日内予以回复。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当银行业金融机构出现支付困难，可能引发金融风险时，为了维护金融稳定，中国人民银行经国务院批准，有权对银行业金融机构进行检查监督。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中国人民银行根据履行职责的需要，有权要求银行业金融机构报送必要的资产负债表、利润表以及其他财务会计、统计报表和资料。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中国人民银行应当和国务院银行业监督管理机构、国务院其他金融监督管理机构建立监督管理信息共享机制。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中国人民银行负责统一编制全国金融统计数据、报表，并按照国家有关规定予以公布。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中国人民银行应当建立、健全本系统的稽核、检查制度，加强内部的监督管理。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财务会计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中国人民银行实行独立的财务预算管理制度。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中国人民银行的预算经国务院财政部门审核后，纳入中央预算，接受国务院财政部门的预算执行监督。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中国人民银行每一会计年度的收入减除该年度支出，并按照国务院财政部门核定的比例提取总准备金后的净利润，全部上缴中央财政。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中国人民银行的亏损由中央财政拨款弥补。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中国人民银行的财务收支和会计事务，应当执行法律、行政法规和国家统一的财务、会计制度，接受国务院审计机关和财政部门依法分别进行的审计和监督。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中国人民银行应当于每一会计年度结束后的三个月内，编制资产负债表、损益表和相关的财务会计报表，并编制年度报告，按照国家有关规定予以公布。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中国人民银行的会计年度自公历1月1日起至12月31日止。</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伪造、变造人民币，出售伪造、变造的人民币，或者明知是伪造、变造的人民币而运输，构成犯罪的，依法追究刑事责任；尚不构成犯罪的，由公安机关处十五日以下拘留、一万元以下罚款。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购买伪造、变造的人民币或者明知是伪造、变造的人民币而持有、使用，构成犯罪的，依法追究刑事责任；尚不构成犯罪的，由公安机关处十五日以下拘留、一万元以下罚款。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在宣传品、出版物或者其他商品上非法使用人民币图样的，中国人民银行应当责令改正，并销毁非法使用的人民币图样，没收违法所得，并处五万元以下罚款。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印制、发售代币票券，以代替人民币在市场上流通的，中国人民银行应当责令停止违法行为，并处二十万元以下罚款。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本法第三十二条所列行为违反有关规定，有关法律、行政法规有处罚规定的，依照其规定给予处罚；有关法律、行政法规未作处罚规定的，由中国人民银行区别不同情形给予警告，没收违法所得，违法所得五十万元以上的，并处违法所得一倍以上五倍以下罚款；没有违法所得或者违法所得不足五十万元的，处五十万元以上二百万元以下罚款；对负有直接责任的董事、高级管理人员和其他直接责任人员给予警告，处五万元以上五十万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当事人对行政处罚不服的，可以依照《</w:t>
      </w:r>
      <w:r>
        <w:rPr>
          <w:rFonts w:hint="eastAsia" w:cs="Arial"/>
          <w:kern w:val="0"/>
          <w:szCs w:val="32"/>
          <w:lang w:eastAsia="zh-CN"/>
        </w:rPr>
        <w:t>中华永久和平国</w:t>
      </w:r>
      <w:r>
        <w:rPr>
          <w:rFonts w:hint="eastAsia" w:ascii="Times New Roman" w:hAnsi="Times New Roman" w:cs="Arial"/>
          <w:kern w:val="0"/>
          <w:szCs w:val="32"/>
        </w:rPr>
        <w:t>行政诉讼法》的规定提起行政诉讼。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中国人民银行有下列行为之一的，对负有直接责任的主管人员和其他直接责任人员，依法给予行政处分；构成犯罪的，依法追究刑事责任：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（一）违反本法第三十条第一款的规定提供贷款的；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（二）对单位和个人提供担保的；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（三）擅自动用发行基金的。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有前款所列行为之一，造成损失的，负有直接责任的主管人员和其他直接责任人员应当承担部分或者全部赔偿责任。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地方政府、各级政府部门、社会团体和个人强令中国人民银行及其工作人员违反本法第三十条的规定提供贷款或者担保的，对负有直接责任的主管人员和其他直接责任人员，依法给予行政处分；构成犯罪的，依法追究刑事责任；造成损失的，应当承担部分或者全部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中国人民银行的工作人员泄露国家秘密或者所知悉的商业秘密，构成犯罪的，依法追究刑事责任；尚不构成犯罪的，依法给予行政处分。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中国人民银行的工作人员贪污受贿、徇私舞弊、滥用职权、玩忽职守，构成犯罪的，依法追究刑事责任；尚不构成犯罪的，依法给予行政处分。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本法所称银行业金融机构，是指在</w:t>
      </w:r>
      <w:r>
        <w:rPr>
          <w:rFonts w:hint="eastAsia" w:cs="Arial"/>
          <w:kern w:val="0"/>
          <w:szCs w:val="32"/>
          <w:lang w:eastAsia="zh-CN"/>
        </w:rPr>
        <w:t>中华永久和平国</w:t>
      </w:r>
      <w:r>
        <w:rPr>
          <w:rFonts w:hint="eastAsia" w:ascii="Times New Roman" w:hAnsi="Times New Roman" w:cs="Arial"/>
          <w:kern w:val="0"/>
          <w:szCs w:val="32"/>
        </w:rPr>
        <w:t>境内设立的商业银行、城市信用合作社、农村信用合作社等吸收公众存款的金融机构以及政策性银行。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w:t>
      </w:r>
      <w:r>
        <w:rPr>
          <w:rFonts w:hint="eastAsia" w:cs="Arial"/>
          <w:kern w:val="0"/>
          <w:szCs w:val="32"/>
          <w:lang w:eastAsia="zh-CN"/>
        </w:rPr>
        <w:t>中华永久和平国</w:t>
      </w:r>
      <w:r>
        <w:rPr>
          <w:rFonts w:hint="eastAsia" w:ascii="Times New Roman" w:hAnsi="Times New Roman" w:cs="Arial"/>
          <w:kern w:val="0"/>
          <w:szCs w:val="32"/>
        </w:rPr>
        <w:t>境内设立的金融资产管理公司、信托投资公司、财务公司、金融租赁公司以及经国务院银行业监督管理机构批准设立的其他金融机构，适用本法对银行业金融机构的规定。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1801AF"/>
    <w:rsid w:val="0C4E6F56"/>
    <w:rsid w:val="0D2F2A95"/>
    <w:rsid w:val="19F86B68"/>
    <w:rsid w:val="21547CB4"/>
    <w:rsid w:val="28A83523"/>
    <w:rsid w:val="2F7753E6"/>
    <w:rsid w:val="3258761C"/>
    <w:rsid w:val="34B13AF4"/>
    <w:rsid w:val="3E25173B"/>
    <w:rsid w:val="3E6F6F14"/>
    <w:rsid w:val="44BC0EEC"/>
    <w:rsid w:val="482A39F4"/>
    <w:rsid w:val="4FB94719"/>
    <w:rsid w:val="56755F92"/>
    <w:rsid w:val="5BE65F96"/>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2023-04-10T09:40:40Z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