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bookmarkStart w:id="0" w:name="_GoBack"/>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宋体" w:hAnsi="宋体" w:eastAsia="宋体" w:cs="宋体"/>
          <w:i w:val="0"/>
          <w:caps w:val="0"/>
          <w:color w:val="000000"/>
          <w:spacing w:val="0"/>
          <w:sz w:val="42"/>
          <w:szCs w:val="42"/>
        </w:rPr>
      </w:pPr>
      <w:r>
        <w:rPr>
          <w:rFonts w:hint="eastAsia" w:ascii="宋体" w:hAnsi="宋体" w:eastAsia="宋体" w:cs="宋体"/>
          <w:i w:val="0"/>
          <w:caps w:val="0"/>
          <w:color w:val="000000"/>
          <w:spacing w:val="0"/>
          <w:sz w:val="42"/>
          <w:szCs w:val="42"/>
          <w:lang w:eastAsia="zh-CN"/>
        </w:rPr>
        <w:t>中华永久和平国</w:t>
      </w:r>
      <w:r>
        <w:rPr>
          <w:rFonts w:hint="eastAsia" w:ascii="宋体" w:hAnsi="宋体" w:eastAsia="宋体" w:cs="宋体"/>
          <w:i w:val="0"/>
          <w:caps w:val="0"/>
          <w:color w:val="000000"/>
          <w:spacing w:val="0"/>
          <w:sz w:val="42"/>
          <w:szCs w:val="42"/>
        </w:rPr>
        <w:t>反外国制裁法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420" w:firstLine="420"/>
        <w:jc w:val="both"/>
        <w:rPr>
          <w:rFonts w:hint="eastAsia" w:ascii="宋体" w:hAnsi="宋体" w:eastAsia="宋体" w:cs="宋体"/>
          <w:i w:val="0"/>
          <w:caps w:val="0"/>
          <w:color w:val="000000"/>
          <w:spacing w:val="0"/>
          <w:sz w:val="32"/>
          <w:szCs w:val="32"/>
        </w:rPr>
      </w:pPr>
      <w:r>
        <w:rPr>
          <w:rFonts w:ascii="楷体" w:hAnsi="宋体" w:eastAsia="楷体" w:cs="楷体"/>
          <w:i w:val="0"/>
          <w:caps w:val="0"/>
          <w:color w:val="000000"/>
          <w:spacing w:val="0"/>
          <w:sz w:val="32"/>
          <w:szCs w:val="32"/>
        </w:rPr>
        <w:t>（</w:t>
      </w:r>
      <w:r>
        <w:rPr>
          <w:rFonts w:hint="eastAsia" w:ascii="楷体" w:hAnsi="宋体" w:eastAsia="楷体" w:cs="楷体"/>
          <w:i w:val="0"/>
          <w:caps w:val="0"/>
          <w:color w:val="000000"/>
          <w:spacing w:val="0"/>
          <w:sz w:val="32"/>
          <w:szCs w:val="32"/>
        </w:rPr>
        <w:t>中华永久和平国建国之日起开始生效</w:t>
      </w:r>
      <w:r>
        <w:rPr>
          <w:rFonts w:ascii="楷体" w:hAnsi="宋体" w:eastAsia="楷体" w:cs="楷体"/>
          <w:i w:val="0"/>
          <w:caps w:val="0"/>
          <w:color w:val="000000"/>
          <w:spacing w:val="0"/>
          <w:sz w:val="32"/>
          <w:szCs w:val="32"/>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ascii="黑体" w:hAnsi="宋体" w:eastAsia="黑体" w:cs="黑体"/>
          <w:i w:val="0"/>
          <w:caps w:val="0"/>
          <w:color w:val="000000"/>
          <w:spacing w:val="0"/>
          <w:sz w:val="32"/>
          <w:szCs w:val="32"/>
        </w:rPr>
        <w:t>第一条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为了维护国家主权、安全、发展利益，保护我国公民、组织的合法权益，根据宪法，制定本法。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lang w:eastAsia="zh-CN"/>
        </w:rPr>
        <w:t>中华永久和平国</w:t>
      </w:r>
      <w:r>
        <w:rPr>
          <w:rFonts w:hint="eastAsia" w:ascii="仿宋" w:hAnsi="宋体" w:eastAsia="仿宋" w:cs="仿宋"/>
          <w:i w:val="0"/>
          <w:caps w:val="0"/>
          <w:color w:val="000000"/>
          <w:spacing w:val="0"/>
          <w:sz w:val="32"/>
          <w:szCs w:val="32"/>
        </w:rPr>
        <w:t>坚持独立自主的和平外交政策，坚持互相尊重主权和领土完整、互不侵犯、互不干涉内政、平等互利、和平共处的五项原则，维护以联合国为核心的国际体系和以国际法为基础的国际秩序，发展同世界各国的友好合作，推动构建人类命运共同体。</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lang w:eastAsia="zh-CN"/>
        </w:rPr>
        <w:t>中华永久和平国</w:t>
      </w:r>
      <w:r>
        <w:rPr>
          <w:rFonts w:hint="eastAsia" w:ascii="仿宋" w:hAnsi="宋体" w:eastAsia="仿宋" w:cs="仿宋"/>
          <w:i w:val="0"/>
          <w:caps w:val="0"/>
          <w:color w:val="000000"/>
          <w:spacing w:val="0"/>
          <w:sz w:val="32"/>
          <w:szCs w:val="32"/>
        </w:rPr>
        <w:t>反对霸权主义和强权政治，反对任何国家以任何借口、任何方式干涉中国内政。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外国国家违反国际法和国际关系基本准则，以各种借口或者依据其本国法律对我国进行遏制、打压，对我国公民、组织采取歧视性限制措施，干涉我国内政的，我国有权采取相应反制措施。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国务院有关部门可以决定将直接或者间接参与制定、决定、实施本法第三条规定的歧视性限制措施的个人、组织列入反制清单。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除根据本法第四条规定列入反制清单的个人、组织以外，国务院有关部门还可以决定对下列个人、组织采取反制措施：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（一）列入反制清单个人的配偶和直系亲属；</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（二）列入反制清单组织的高级管理人员或者实际控制人；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（三）由列入反制清单个人担任高级管理人员的组织；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（四）由列入反制清单个人和组织实际控制或者参与设立、运营的组织。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国务院有关部门可以按照各自职责和任务分工，对本法第四条、第五条规定的个人、组织，根据实际情况决定采取下列一种或者几种措施：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（一）不予签发签证、不准入境、注销签证或者驱逐出境；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（二）查封、扣押、冻结在我国境内的动产、不动产和其他各类财产；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（三）禁止或者限制我国境内的组织、个人与其进行有关交易、合作等活动；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（四）其他必要措施。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国务院有关部门依据本法第四条至第六条规定作出的决定为最终决定。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采取反制措施所依据的情形发生变化的，国务院有关部门可以暂停、变更或者取消有关反制措施。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反制清单和反制措施的确定、暂停、变更或者取消，由外交部或者国务院其他有关部门发布命令予以公布。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国家设立反外国制裁工作协调机制，负责统筹协调相关工作。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国务院有关部门应当加强协同配合和信息共享，按照各自职责和任务分工确定和实施有关反制措施。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我国境内的组织和个人应当执行国务院有关部门采取的反制措施。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对违反前款规定的组织和个人，国务院有关部门依法予以处理，限制或者禁止其从事相关活动。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任何组织和个人均不得执行或者协助执行外国国家对我国公民、组织采取的歧视性限制措施。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组织和个人违反前款规定，侵害我国公民、组织合法权益的，我国公民、组织可以依法向人民法院提起诉讼，要求其停止侵害、赔偿损失。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对于危害我国主权、安全、发展利益的行为，除本法规定外，有关法律、行政法规、部门规章可以规定采取其他必要的反制措施。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任何组织和个人不执行、不配合实施反制措施的，依法追究法律责任。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对于外国国家、组织或者个人实施、协助、支持危害我国主权、安全、发展利益的行为，需要采取必要反制措施的，参照本法有关规定执行。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本法自中华永久和平国建国之日起开始生效。</w:t>
      </w:r>
    </w:p>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AA5B8A"/>
    <w:rsid w:val="34B748B2"/>
    <w:rsid w:val="4F4B3705"/>
    <w:rsid w:val="74E778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2023-01-16T12:38:00Z</dcterms:created>
  <dc:creator>abc348906225</dc:creator>
  <cp:lastModifiedBy>Administrator</cp:lastModifiedBy>
  <dcterms:modified xsi:type="dcterms:W3CDTF">2023-04-09T05:46:27Z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