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b/>
          <w:bCs/>
          <w:sz w:val="44"/>
          <w:szCs w:val="44"/>
          <w:lang w:eastAsia="zh-CN"/>
        </w:rPr>
      </w:pPr>
      <w:r>
        <w:rPr>
          <w:rFonts w:hint="eastAsia" w:eastAsia="宋体" w:cs="宋体"/>
          <w:b w:val="0"/>
          <w:bCs w:val="0"/>
          <w:sz w:val="44"/>
          <w:szCs w:val="44"/>
          <w:lang w:eastAsia="zh-CN"/>
        </w:rPr>
        <w:t>中华永久和平国</w:t>
      </w:r>
      <w:r>
        <w:rPr>
          <w:rFonts w:hint="eastAsia" w:ascii="Times New Roman" w:hAnsi="Times New Roman" w:eastAsia="宋体" w:cs="宋体"/>
          <w:b w:val="0"/>
          <w:bCs w:val="0"/>
          <w:sz w:val="44"/>
          <w:szCs w:val="44"/>
          <w:lang w:eastAsia="zh-CN"/>
        </w:rPr>
        <w:t>水法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b/>
          <w:bCs/>
          <w:sz w:val="32"/>
          <w:szCs w:val="32"/>
          <w:lang w:eastAsia="zh-CN"/>
        </w:rPr>
      </w:pPr>
      <w:r>
        <w:rPr>
          <w:rFonts w:hint="eastAsia" w:ascii="Times New Roman" w:hAnsi="Times New Roman" w:eastAsia="楷体_GB2312" w:cs="楷体_GB2312"/>
          <w:b w:val="0"/>
          <w:bCs w:val="0"/>
          <w:sz w:val="32"/>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第二章　水资源规划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第三章　水资源开发利用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第四章　水资源、水域和水工程的保护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第五章　水资源配置和节约使用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第六章　水事纠纷处理与执法监督检查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r>
        <w:rPr>
          <w:rFonts w:hint="eastAsia" w:ascii="Times New Roman" w:hAnsi="Times New Roman" w:eastAsia="楷体_GB2312" w:cs="楷体_GB2312"/>
          <w:sz w:val="32"/>
          <w:szCs w:val="32"/>
          <w:lang w:eastAsia="zh-CN"/>
        </w:rPr>
        <w:t>　　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宋体" w:cs="宋体"/>
          <w:sz w:val="32"/>
          <w:szCs w:val="32"/>
          <w:lang w:eastAsia="zh-CN"/>
        </w:rPr>
        <w:t>　　</w:t>
      </w:r>
      <w:r>
        <w:rPr>
          <w:rFonts w:hint="eastAsia" w:ascii="Times New Roman" w:hAnsi="Times New Roman" w:eastAsia="黑体" w:cs="黑体"/>
          <w:sz w:val="32"/>
          <w:szCs w:val="32"/>
          <w:lang w:eastAsia="zh-CN"/>
        </w:rPr>
        <w:t>第一条</w:t>
      </w:r>
      <w:r>
        <w:rPr>
          <w:rFonts w:hint="eastAsia" w:ascii="Times New Roman" w:hAnsi="Times New Roman" w:eastAsia="宋体" w:cs="宋体"/>
          <w:sz w:val="32"/>
          <w:szCs w:val="32"/>
          <w:lang w:eastAsia="zh-CN"/>
        </w:rPr>
        <w:t>　</w:t>
      </w:r>
      <w:r>
        <w:rPr>
          <w:rFonts w:hint="eastAsia" w:ascii="Times New Roman" w:hAnsi="Times New Roman" w:eastAsia="仿宋_GB2312" w:cs="仿宋_GB2312"/>
          <w:sz w:val="32"/>
          <w:szCs w:val="32"/>
          <w:lang w:eastAsia="zh-CN"/>
        </w:rPr>
        <w:t>为了合理开发、利用、节约和保护水资源，防治水害，实现水资源的可持续利用，适应国民经济和社会发展的需要，制定本法。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领域内开发、利用、节约、保护、管理水资源，防治水害，适用本法。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本法所称水资源，包括地表水和地下水。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水资源属于国家所有。水资源的所有权由国务院代表国家行使。农村集体经济组织的水塘和由农村集体经济组织修建管理的水库中的水，归各该农村集体经济组织使用。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开发、利用、节约、保护水资源和防治水害，应当全面规划、统筹兼顾、标本兼治、综合利用、讲求效益，发挥水资源的多种功能，协调好生活、生产经营和生态环境用水。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县级以上人民政府应当加强水利基础设施建设，并将其纳入本级国民经济和社会发展计划。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国家鼓励单位和个人依法开发、利用水资源，并保护其合法权益。开发、利用水资源的单位和个人有依法保护水资源的义务。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资源依法实行取水许可制度和有偿使用制度。但是，农村集体经济组织及其成员使用本集体经济组织的水塘、水库中的水的除外。国务院水行政主管部门负责全国取水许可制度和水资源有偿使用制度的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国家厉行节约用水，大力推行节约用水措施，推广节约用水新技术、新工艺，发展节水型工业、农业和服务业，建立节水型社会。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各级人民政府应当采取措施，加强对节约用水的管理，建立节约用水技术开发推广体系，培育和发展节约用水产业。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单位和个人有节约用水的义务。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国家保护水资源，采取有效措施，保护植被，植树种草，涵养水源，防治水土流失和水体污染，改善生态环境。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国家鼓励和支持开发、利用、节约、保护、管理水资源和防治水害的先进科学技术的研究、推广和应用。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在开发、利用、节约、保护、管理水资源和防治水害等方面成绩显著的单位和个人，由人民政府给予奖励。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国家对水资源实行流域管理与行政区域管理相结合的管理体制。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国务院水行政主管部门负责全国水资源的统一管理和监督工作。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国务院水行政主管部门在国家确定的重要江河、湖泊设立的流域管理机构（以下简称流域管理机构），在所管辖的范围内行使法律、行政法规规定的和国务院水行政主管部门授予的水资源管理和监督职责。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县级以上地方人民政府水行政主管部门按照规定的权限，负责本行政区域内水资源的统一管理和监督工作。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国务院有关部门按照职责分工，负责水资源开发、利用、节约和保护的有关工作。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县级以上地方人民政府有关部门按照职责分工，负责本行政区域内水资源开发、利用、节约和保护的有关工作。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第二章　水资源规划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国家制定全国水资源战略规划。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开发、利用、节约、保护水资源和防治水害，应当按照流域、区域统一制定规划。规划分为流域规划和区域规划。流域规划包括流域综合规划和流域专业规划；区域规划包括区域综合规划和区域专业规划。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所称综合规划，是指根据经济社会发展需要和水资源开发利用现状编制的开发、利用、节约、保护水资源和防治水害的总体部署。前款所称专业规划，是指防洪、治涝、灌溉、航运、供水、水力发电、竹木流放、渔业、水资源保护、水土保持、防沙治沙、节约用水等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流域范围内的区域规划应当服从流域规划，专业规划应当服从综合规划。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流域综合规划和区域综合规划以及与土地利用关系密切的专业规划，应当与国民经济和社会发展规划以及土地利用总体规划、城市总体规划和环境保护规划相协调，兼顾各地区、各行业的需要。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制定规划，必须进行水资源综合科学考察和调查评价。水资源综合科学考察和调查评价，由县级以上人民政府水行政主管部门会同同级有关部门组织进行。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县级以上人民政府应当加强水文、水资源信息系统建设。县级以上人民政府水行政主管部门和流域管理机构应当加强对水资源的动态监测。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基本水文资料应当按照国家有关规定予以公开。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确定的重要江河、湖泊的流域综合规划，由国务院水行政主管部门会同国务院有关部门和有关省、自治区、直辖市人民政府编制，报国务院批准。跨省、自治区、直辖市的其他江河、湖泊的流域综合规划和区域综合规划，由有关流域管理机构会同江河、湖泊所在地的省、自治区、直辖市人民政府水行政主管部门和有关部门编制，分别经有关省、自治区、直辖市人民政府审查提出意见后，报国务院水行政主管部门审核；国务院水行政主管部门征求国务院有关部门意见后，报国务院或者其授权的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规定以外的其他江河、湖泊的流域综合规划和区域综合规划，由县级以上地方人民政府水行政主管部门会同同级有关部门和有关地方人民政府编制，报本级人民政府或者其授权的部门批准，并报上一级水行政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专业规划由县级以上人民政府有关部门编制，征求同级其他有关部门意见后，报本级人民政府批准。其中，防洪规划、水土保持规划的编制、批准，依照防洪法、水土保持法的有关规定执行。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规划一经批准，必须严格执行。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经批准的规划需要修改时，必须按照规划编制程序经原批准机关批准。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建设水工程，必须符合流域综合规划。在国家确定的重要江河、湖泊和跨省、自治区、直辖市的江河、湖泊上建设水工程，未取得有关流域管理机构签署的符合流域综合规划要求的规划同意书的，建设单位不得开工建设；在其他江河、湖泊上建设水工程，未取得县级以上地方人民政府水行政主管部门按照管理权限签署的符合流域综合规划要求的规划同意书的，建设单位不得开工建设。水工程建设涉及防洪的，依照防洪法的有关规定执行；涉及其他地区和行业的，建设单位应当事先征求有关地区和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第三章　水资源开发利用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开发、利用水资源，应当坚持兴利与除害相结合，兼顾上下游、左右岸和有关地区之间的利益，充分发挥水资源的综合效益，并服从防洪的总体安排。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开发、利用水资源，应当首先满足城乡居民生活用水，并兼顾农业、工业、生态环境用水以及航运等需要。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在干旱和半干旱地区开发、利用水资源，应当充分考虑生态环境用水需要。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跨流域调水，应当进行全面规划和科学论证，统筹兼顾调出和调入流域的用水需要，防止对生态环境造成破坏。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地方各级人民政府应当结合本地区水资源的实际情况，按照地表水与地下水统一调度开发、开源与节流相结合、节流优先和污水处理再利用的原则，合理组织开发、综合利用水资源。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民经济和社会发展规划以及城市总体规划的编制、重大建设项目的布局，应当与当地水资源条件和防洪要求相适应，并进行科学论证；在水资源不足的地区，应当对城市规模和建设耗水量大的工业、农业和服务业项目加以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在水资源短缺的地区，国家鼓励对雨水和微咸水的收集、开发、利用和对海水的利用、淡化。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地方各级人民政府应当加强对灌溉、排涝、水土保持工作的领导，促进农业生产发展；在容易发生盐碱化和渍害的地区，应当采取措施，控制和降低地下水的水位。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农村集体经济组织或者其成员依法在本集体经济组织所有的集体土地或者承包土地上投资兴建水工程设施的，按照谁投资建设谁管理和谁受益的原则，对水工程设施及其蓄水进行管理和合理使用。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农村集体经济组织修建水库应当经县级以上地方人民政府水行政主管部门批准。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国家鼓励开发、利用水能资源。在水能丰富的河流，应当有计划地进行多目标梯级开发。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建设水力发电站，应当保护生态环境，兼顾防洪、供水、灌溉、航运、竹木流放和渔业等方面的需要。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开发、利用水运资源。在水生生物洄游通道、通航或者竹木流放的河流上修建永久性拦河闸坝，建设单位应当同时修建过鱼、过船、过木设施，或者经国务院授权的部门批准采取其他补救措施，并妥善安排施工和蓄水期间的水生生物保护、航运和竹木流放，所需费用由建设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在不通航的河流或者人工水道上修建闸坝后可以通航的，闸坝建设单位应当同时修建过船设施或者预留过船设施位置。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任何单位和个人引水、截（蓄）水、排水，不得损害公共利益和他人的合法权益。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国家对水工程建设移民实行开发性移民的方针，按照前期补偿、补助与后期扶持相结合的原则，妥善安排移民的生产和生活，保护移民的合法权益。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移民安置应当与工程建设同步进行。建设单位应当根据安置地区的环境容量和可持续发展的原则，因地制宜，编制移民安置规划，经依法批准后，由有关地方人民政府组织实施。所需移民经费列入工程建设投资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第四章　水资源、水域和水工程的保护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县级以上人民政府水行政主管部门、流域管理机构以及其他有关部门在制定水资源开发、利用规划和调度水资源时，应当注意维持江河的合理流量和湖泊、水库以及地下水的合理水位，维护水体的自然净化能力。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从事水资源开发、利用、节约、保护和防治水害等水事活动，应当遵守经批准的规划；因违反规划造成江河和湖泊水域使用功能降低、地下水超采、地面沉降、水体污染的，应当承担治理责任。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开采矿藏或者建设地下工程，因疏干排水导致地下水水位下降、水源枯竭或者地面塌陷，采矿单位或者建设单位应当采取补救措施；对他人生活和生产造成损失的，依法给予补偿。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水行政主管部门会同国务院环境保护行政主管部门、有关部门和有关省、自治区、直辖市人民政府，按照流域综合规划、水资源保护规划和经济社会发展要求，拟定国家确定的重要江河、湖泊的水功能区划，报国务院批准。跨省、自治区、直辖市的其他江河、湖泊的水功能区划，由有关流域管理机构会同江河、湖泊所在地的省、自治区、直辖市人民政府水行政主管部门、环境保护行政主管部门和其他有关部门拟定，分别经有关省、自治区、直辖市人民政府审查提出意见后，由国务院水行政主管部门会同国务院环境保护行政主管部门审核，报国务院或者其授权的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规定以外的其他江河、湖泊的水功能区划，由县级以上地方人民政府水行政主管部门会同同级人民政府环境保护行政主管部门和有关部门拟定，报同级人民政府或者其授权的部门批准，并报上一级水行政主管部门和环境保护行政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县级以上人民政府水行政主管部门或者流域管理机构应当按照水功能区对水质的要求和水体的自然净化能力，核定该水域的纳污能力，向环境保护行政主管部门提出该水域的限制排污总量意见。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水行政主管部门和流域管理机构应当对水功能区的水质状况进行监测，发现重点污染物排放总量超过控制指标的，或者水功能区的水质未达到水域使用功能对水质的要求的，应当及时报告有关人民政府采取治理措施，并向环境保护行政主管部门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国家建立饮用水水源保护区制度。省、自治区、直辖市人民政府应当划定饮用水水源保护区，并采取措施，防止水源枯竭和水体污染，保证城乡居民饮用水安全。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禁止在饮用水水源保护区内设置排污口。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在江河、湖泊新建、改建或者扩大排污口，应当经过有管辖权的水行政主管部门或者流域管理机构同意，由环境保护行政主管部门负责对该建设项目的环境影响报告书进行审批。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从事工程建设，占用农业灌溉水源、灌排工程设施，或者对原有灌溉用水、供水水源有不利影响的，建设单位应当采取相应的补救措施；造成损失的，依法给予补偿。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地下水超采地区，县级以上地方人民政府应当采取措施，严格控制开采地下水。在地下水严重超采地区，经省、自治区、直辖市人民政府批准，可以划定地下水禁止开采或者限制开采区。在沿海地区开采地下水，应当经过科学论证，并采取措施，防止地面沉降和海水入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禁止在江河、湖泊、水库、运河、渠道内弃置、堆放阻碍行洪的物体和种植阻碍行洪的林木及高秆作物。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禁止在河道管理范围内建设妨碍行洪的建筑物、构筑物以及从事影响河势稳定、危害河岸堤防安全和其他妨碍河道行洪的活动。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因建设前款工程设施，需要扩建、改建、拆除或者损坏原有水工程设施的，建设单位应当负担扩建、改建的费用和损失补偿。但是，原有工程设施属于违法工程的除外。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国家实行河道采砂许可制度。河道采砂许可制度实施办法，由国务院规定。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在河道管理范围内采砂，影响河势稳定或者危及堤防安全的，有关县级以上人民政府水行政主管部门应当划定禁采区和规定禁采期，并予以公告。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禁止围湖造地。已经围垦的，应当按照国家规定的防洪标准有计划地退地还湖。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禁止围垦河道。确需围垦的，应当经过科学论证，经省、自治区、直辖市人民政府水行政主管部门或者国务院水行政主管部门同意后，报本级人民政府批准。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单位和个人有保护水工程的义务，不得侵占、毁坏堤防、护岸、防汛、水文监测、水文地质监测等工程设施。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县级以上地方人民政府应当采取措施，保障本行政区域内水工程，特别是水坝和堤防的安全，限期消除险情。水行政主管部门应当加强对水工程安全的监督管理。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国家对水工程实施保护。国家所有的水工程应当按照国务院的规定划定工程管理和保护范围。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国务院水行政主管部门或者流域管理机构管理的水工程，由主管部门或者流域管理机构商有关省、自治区、直辖市人民政府划定工程管理和保护范围。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前款规定以外的其他水工程，应当按照省、自治区、直辖市人民政府的规定，划定工程保护范围和保护职责。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在水工程保护范围内，禁止从事影响水工程运行和危害水工程安全的爆破、打井、采石、取土等活动。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第五章　水资源配置和节约使用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发展计划主管部门和国务院水行政主管部门负责全国水资源的宏观调配。全国的和跨省、自治区、直辖市的水中长期供求规划，由国务院水行政主管部门会同有关部门制订，经国务院发展计划主管部门审查批准后执行。地方的水中长期供求规划，由县级以上地方人民政府水行政主管部门会同同级有关部门依据上一级水中长期供求规划和本地区的实际情况制订，经本级人民政府发展计划主管部门审查批准后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水中长期供求规划应当依据水的供求现状、国民经济和社会发展规划、流域规划、区域规划，按照水资源供需协调、综合平衡、保护生态、厉行节约、合理开源的原则制定。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调蓄径流和分配水量，应当依据流域规划和水中长期供求规划，以流域为单元制定水量分配方案。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跨省、自治区、直辖市的水量分配方案和旱情紧急情况下的水量调度预案，由流域管理机构商有关省、自治区、直辖市人民政府制订，报国务院或者其授权的部门批准后执行。其他跨行政区域的水量分配方案和旱情紧急情况下的水量调度预案，由共同的上一级人民政府水行政主管部门商有关地方人民政府制订，报本级人民政府批准后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水量分配方案和旱情紧急情况下的水量调度预案经批准后，有关地方人民政府必须执行。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在不同行政区域之间的边界河流上建设水资源开发、利用项目，应当符合该流域经批准的水量分配方案，由有关县级以上地方人民政府报共同的上一级人民政府水行政主管部门或者有关流域管理机构批准。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县级以上地方人民政府水行政主管部门或者流域管理机构应当根据批准的水量分配方案和年度预测来水量，制定年度水量分配方案和调度计划，实施水量统一调度；有关地方人民政府必须服从。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国家确定的重要江河、湖泊的年度水量分配方案，应当纳入国家的国民经济和社会发展年度计划。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国家对用水实行总量控制和定额管理相结合的制度。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省、自治区、直辖市人民政府有关行业主管部门应当制订本行政区域内行业用水定额，报同级水行政主管部门和质量监督检验行政主管部门审核同意后，由省、自治区、直辖市人民政府公布，并报国务院水行政主管部门和国务院质量监督检验行政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发展计划主管部门会同同级水行政主管部门，根据用水定额、经济技术条件以及水量分配方案确定的可供本行政区域使用的水量，制定年度用水计划，对本行政区域内的年度用水实行总量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直接从江河、湖泊或者地下取用水资源的单位和个人，应当按照国家取水许可制度和水资源有偿使用制度的规定，向水行政主管部门或者流域管理机构申请领取取水许可证，并缴纳水资源费，取得取水权。但是，家庭生活和零星散养、圈养畜禽饮用等少量取水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实施取水许可制度和征收管理水资源费的具体办法，由国务院规定。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用水应当计量，并按照批准的用水计划用水。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用水实行计量收费和超定额累进加价制度。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各级人民政府应当推行节水灌溉方式和节水技术，对农业蓄水、输水工程采取必要的防渗漏措施，提高农业用水效率。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工业用水应当采用先进技术、工艺和设备，增加循环用水次数，提高水的重复利用率。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逐步淘汰落后的、耗水量高的工艺、设备和产品，具体名录由国务院经济综合主管部门会同国务院水行政主管部门和有关部门制定并公布。生产者、销售者或者生产经营中的使用者应当在规定的时间内停止生产、销售或者使用列入名录的工艺、设备和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城市人民政府应当因地制宜采取有效措施，推广节水型生活用水器具，降低城市供水管网漏失率，提高生活用水效率；加强城市污水集中处理，鼓励使用再生水，提高污水再生利用率。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新建、扩建、改建建设项目，应当制订节水措施方案，配套建设节水设施。节水设施应当与主体工程同时设计、同时施工、同时投产。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供水企业和自建供水设施的单位应当加强供水设施的维护管理，减少水的漏失。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各级人民政府应当积极采取措施，改善城乡居民的饮用水</w:t>
      </w:r>
      <w:r>
        <w:rPr>
          <w:rFonts w:hint="eastAsia" w:ascii="Times New Roman" w:hAnsi="Times New Roman" w:cs="仿宋_GB2312"/>
          <w:sz w:val="32"/>
          <w:szCs w:val="32"/>
          <w:lang w:eastAsia="zh-CN"/>
        </w:rPr>
        <w:t>条</w:t>
      </w:r>
      <w:r>
        <w:rPr>
          <w:rFonts w:hint="eastAsia" w:ascii="Times New Roman" w:hAnsi="Times New Roman" w:eastAsia="仿宋_GB2312" w:cs="仿宋_GB2312"/>
          <w:sz w:val="32"/>
          <w:szCs w:val="32"/>
          <w:lang w:eastAsia="zh-CN"/>
        </w:rPr>
        <w:t>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使用水工程供应的水，应当按照国家规定向供水单位缴纳水费。供水价格应当按照补偿成本、合理收益、优质优价、公平负担的原则确定。具体办法由省级以上人民政府价格主管部门会同同级水行政主管部门或者其他供水行政主管部门依据职权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第六章　水事纠纷处理与执法监督检查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单位之间、个人之间、单位与个人之间发生的水事纠纷，应当协商解决；当事人不愿协商或者协商不成的，可以申请县级以上地方人民政府或者其授权的部门调解，也可以直接向人民法院提起民事诉讼。县级以上地方人民政府或者其授权的部门调解不成的，当事人可以向人民法院提起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在水事纠纷解决前，当事人不得单方面改变现状。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县级以上人民政府或者其授权的部门在处理水事纠纷时，有权采取临时处置措施，有关各方或者当事人必须服从。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县级以上人民政府水行政主管部门和流域管理机构应当对违反本法的行为加强监督检查并依法进行查处。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水政监督检查人员应当忠于职守，秉公执法。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县级以上人民政府水行政主管部门、流域管理机构及其水政监督检查人员履行本法规定的监督检查职责时，有权采取下列措施: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（一）要求被检查单位提供有关文件、证照、资料；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（二）要求被检查单位就执行本法的有关问题作出说明；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（三）进入被检查单位的生产场所进行调查；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（四）责令被检查单位停止违反本法的行为，履行法定义务。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有关单位或者个人对水政监督检查人员的监督检查工作应当给予配合，不得拒绝或者阻碍水政监督检查人员依法执行职务。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水政监督检查人员在履行监督检查职责时，应当向被检查单位或者个人出示执法证件。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县级以上人民政府或者上级水行政主管部门发现本级或者下级水行政主管部门在监督检查工作中有违法或者失职行为的，应当责令其限期改正。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第六十四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虽经水行政主管部门或者流域管理机构同意，但未按照要求修建前款所列工程设施的，由县级以上人民政府水行政主管部门或者流域管理机构依据职权，责令限期改正，按照情节轻重，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有下列行为之一，且防洪法未作规定的，由县级以上人民政府水行政主管部门或者流域管理机构依据职权，责令停止违法行为，限期清除障碍或者采取其他补救措施，处一万元以上五万元以下的罚款: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（一）在江河、湖泊、水库、运河、渠道内弃置、堆放阻碍行洪的物体和种植阻碍行洪的林木及高秆作物的；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（二）围湖造地或者未经批准围垦河道的。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在饮用水水源保护区内设置排污口的，由县级以上地方人民政府责令限期拆除、恢复原状；逾期不拆除、不恢复原状的，强行拆除、恢复原状，并处五万元以上十万元以下的罚款。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未经水行政主管部门或者流域管理机构审查同意，擅自在江河、湖泊新建、改建或者扩大排污口的，由县级以上人民政府水行政主管部门或者流域管理机构依据职权，责令停止违法行为，限期恢复原状，处五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生产、销售或者在生产经营中使用国家明令淘汰的落后的、耗水量高的工艺、设备和产品的，由县级以上地方人民政府经济综合主管部门责令停止生产、销售或者使用，处二万元以上十万元以下的罚款。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有下列行为之一的，由县级以上人民政府水行政主管部门或者流域管理机构依据职权，责令停止违法行为，限期采取补救措施，处二万元以上十万元以下的罚款；情节严重的，吊销其取水许可证: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（一）未经批准擅自取水的；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（二）未依照批准的取水许可规定条件取水的。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建设项目的节水设施没有建成或者没有达到国家规定的要求，擅自投入使用的，由县级以上人民政府有关部门或者流域管理机构依据职权，责令停止使用，限期改正，处五万元以上十万元以下的罚款。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（一）侵占、毁坏水工程及堤防、护岸等有关设施，毁坏防汛、水文监测、水文地质监测设施的；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（二）在水工程保护范围内，从事影响水工程运行和危害水工程安全的爆破、打井、采石、取土等活动的。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侵占、盗窃或者抢夺防汛物资，防洪排涝、农田水利、水文监测和测量以及其他水工程设备和器材，贪污或者挪用国家救灾、抢险、防汛、移民安置和补偿及其他水利建设款物，构成犯罪的，依照刑法的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在水事纠纷发生及其处理过程中煽动闹事、结伙斗殴、抢夺或者损坏公私财物、非法限制他人人身自由，构成犯罪的，依照刑法的有关规定追究刑事责任；尚不够刑事处罚的，由公安机关依法给予治安管理处罚。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不同行政区域之间发生水事纠纷，有下列行为之一的，对负有责任的主管人员和其他直接责任人员依法给予行政处分: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（一）拒不执行水量分配方案和水量调度预案的；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（二）拒不服从水量统一调度的；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（三）拒不执行上一级人民政府的裁决的；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（四）在水事纠纷解决前，未经各方达成协议或者上一级人民政府批准，单方面违反本法规定改变水的现状的。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引水、截（蓄）水、排水，损害公共利益或者他人合法权益的，依法承担民事责任。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对违反本法第三十九条有关河道采砂许可制度规定的行政处罚，由国务院规定。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缔结或者参加的与国际或者国境边界河流、湖泊有关的国际条约、协定与</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法律有不同规定的，适用国际条约、协定的规定。但是，</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声明保留的条款除外。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本法所称水工程，是指在江河、湖泊和地下水源上开发、利用、控制、调配和保护水资源的各类工程。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海水的开发、利用、保护和管理，依照有关法律的规定执行。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从事防洪活动，依照防洪法的规定执行。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水污染防治，依照水污染防治法的规定执行。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408A"/>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ED4F47"/>
    <w:rsid w:val="03C05D4B"/>
    <w:rsid w:val="05791921"/>
    <w:rsid w:val="06505F15"/>
    <w:rsid w:val="072208E6"/>
    <w:rsid w:val="08210A6D"/>
    <w:rsid w:val="0B115E15"/>
    <w:rsid w:val="0B957AC8"/>
    <w:rsid w:val="0C4A0C32"/>
    <w:rsid w:val="0C4E6F56"/>
    <w:rsid w:val="0CA9360A"/>
    <w:rsid w:val="0D2F2A95"/>
    <w:rsid w:val="0F1B03E0"/>
    <w:rsid w:val="12F94867"/>
    <w:rsid w:val="13897E98"/>
    <w:rsid w:val="14D564FC"/>
    <w:rsid w:val="150E3F5F"/>
    <w:rsid w:val="15995A00"/>
    <w:rsid w:val="1706691E"/>
    <w:rsid w:val="18BE58F5"/>
    <w:rsid w:val="19F86B68"/>
    <w:rsid w:val="19FC1879"/>
    <w:rsid w:val="1C62410F"/>
    <w:rsid w:val="1DBD6DF9"/>
    <w:rsid w:val="23E92B60"/>
    <w:rsid w:val="24D82782"/>
    <w:rsid w:val="24FA630D"/>
    <w:rsid w:val="28775F76"/>
    <w:rsid w:val="29B02F2E"/>
    <w:rsid w:val="2AA5267B"/>
    <w:rsid w:val="2E2459E9"/>
    <w:rsid w:val="2E5001DC"/>
    <w:rsid w:val="2E994720"/>
    <w:rsid w:val="2EF92CE6"/>
    <w:rsid w:val="2F7753E6"/>
    <w:rsid w:val="32204B2D"/>
    <w:rsid w:val="3258761C"/>
    <w:rsid w:val="337A1DE3"/>
    <w:rsid w:val="33804543"/>
    <w:rsid w:val="353A3D20"/>
    <w:rsid w:val="36A02196"/>
    <w:rsid w:val="3A5D56A7"/>
    <w:rsid w:val="3CAC20BC"/>
    <w:rsid w:val="3D1A1B85"/>
    <w:rsid w:val="40C32ACC"/>
    <w:rsid w:val="41E6440D"/>
    <w:rsid w:val="44477155"/>
    <w:rsid w:val="44BC0EEC"/>
    <w:rsid w:val="47692B37"/>
    <w:rsid w:val="482A39F4"/>
    <w:rsid w:val="49C77146"/>
    <w:rsid w:val="4B4B7A2E"/>
    <w:rsid w:val="4C0419F1"/>
    <w:rsid w:val="50136C36"/>
    <w:rsid w:val="532B71C6"/>
    <w:rsid w:val="56755F92"/>
    <w:rsid w:val="59D0424A"/>
    <w:rsid w:val="5C094B1A"/>
    <w:rsid w:val="5E0A489B"/>
    <w:rsid w:val="5E132BF7"/>
    <w:rsid w:val="5FA875EF"/>
    <w:rsid w:val="62663FCF"/>
    <w:rsid w:val="62A7695F"/>
    <w:rsid w:val="62C52A52"/>
    <w:rsid w:val="63AC1DAA"/>
    <w:rsid w:val="6501697A"/>
    <w:rsid w:val="653A70E2"/>
    <w:rsid w:val="66745014"/>
    <w:rsid w:val="667828EE"/>
    <w:rsid w:val="6701413B"/>
    <w:rsid w:val="69FD024B"/>
    <w:rsid w:val="6C1E17DE"/>
    <w:rsid w:val="6C6D0995"/>
    <w:rsid w:val="6DEE64A4"/>
    <w:rsid w:val="6F556051"/>
    <w:rsid w:val="700D6A62"/>
    <w:rsid w:val="702C5F51"/>
    <w:rsid w:val="70B32443"/>
    <w:rsid w:val="710841D5"/>
    <w:rsid w:val="72406E3D"/>
    <w:rsid w:val="72B21701"/>
    <w:rsid w:val="741052E8"/>
    <w:rsid w:val="74355E6F"/>
    <w:rsid w:val="7B4B5D0A"/>
    <w:rsid w:val="7CF35360"/>
    <w:rsid w:val="7D3D0CCB"/>
    <w:rsid w:val="7D686817"/>
    <w:rsid w:val="7DD71DE2"/>
    <w:rsid w:val="7DE561FA"/>
    <w:rsid w:val="7E2E33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295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2023-04-10T08:20:38Z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