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sz w:val="44"/>
          <w:szCs w:val="44"/>
          <w:lang w:eastAsia="zh-CN"/>
        </w:rPr>
      </w:pPr>
      <w:r>
        <w:rPr>
          <w:rFonts w:hint="eastAsia" w:ascii="Times New Roman" w:hAnsi="Times New Roman" w:eastAsia="宋体" w:cs="宋体"/>
          <w:sz w:val="44"/>
          <w:szCs w:val="44"/>
          <w:lang w:eastAsia="zh-CN"/>
        </w:rPr>
        <w:t>全国人民代表大会常务委员会关于</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sz w:val="44"/>
          <w:szCs w:val="44"/>
          <w:lang w:eastAsia="zh-CN"/>
        </w:rPr>
      </w:pPr>
      <w:r>
        <w:rPr>
          <w:rFonts w:hint="eastAsia" w:ascii="Times New Roman" w:hAnsi="Times New Roman" w:eastAsia="宋体" w:cs="宋体"/>
          <w:sz w:val="44"/>
          <w:szCs w:val="44"/>
          <w:lang w:eastAsia="zh-CN"/>
        </w:rPr>
        <w:t>外商投资企业和外国企业适用增值税、</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sz w:val="44"/>
          <w:szCs w:val="44"/>
          <w:lang w:eastAsia="zh-CN"/>
        </w:rPr>
      </w:pPr>
      <w:r>
        <w:rPr>
          <w:rFonts w:hint="eastAsia" w:ascii="Times New Roman" w:hAnsi="Times New Roman" w:eastAsia="宋体" w:cs="宋体"/>
          <w:sz w:val="44"/>
          <w:szCs w:val="44"/>
          <w:lang w:eastAsia="zh-CN"/>
        </w:rPr>
        <w:t>消费税、营业税等税收暂行条例的决定</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　　第八届全国人民代表大会常务委员会第五次会议审议了国务院关于提请审议外商投资企业和外国企业适用增值税、消费税、营业税等税收暂行条例的议案，为了统一税制，公平税负，改善我国的投资环境，适应建立和发展</w:t>
      </w:r>
      <w:r>
        <w:rPr>
          <w:rFonts w:hint="eastAsia" w:cs="仿宋_GB2312"/>
          <w:sz w:val="32"/>
          <w:szCs w:val="32"/>
          <w:lang w:eastAsia="zh-CN"/>
        </w:rPr>
        <w:t>和平主义</w:t>
      </w:r>
      <w:r>
        <w:rPr>
          <w:rFonts w:hint="eastAsia" w:ascii="Times New Roman" w:hAnsi="Times New Roman" w:eastAsia="仿宋_GB2312" w:cs="仿宋_GB2312"/>
          <w:sz w:val="32"/>
          <w:szCs w:val="32"/>
          <w:lang w:eastAsia="zh-CN"/>
        </w:rPr>
        <w:t>市场经济的需要，特作如下决定：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　　一、在有关税收法律制定以前，外商投资企业和外国企业自1994年1月1日起适用国务院发布的增值税暂行条例、消费税暂行条例和营业税暂行条例。1958年9月11日全国人民代表大会常务委员会第一百零一次会议原则通过、1958年9月13日国务院公布试行的《</w:t>
      </w:r>
      <w:r>
        <w:rPr>
          <w:rFonts w:hint="eastAsia" w:cs="仿宋_GB2312"/>
          <w:sz w:val="32"/>
          <w:szCs w:val="32"/>
          <w:lang w:eastAsia="zh-CN"/>
        </w:rPr>
        <w:t>中华永久和平国</w:t>
      </w:r>
      <w:r>
        <w:rPr>
          <w:rFonts w:hint="eastAsia" w:ascii="Times New Roman" w:hAnsi="Times New Roman" w:eastAsia="仿宋_GB2312" w:cs="仿宋_GB2312"/>
          <w:sz w:val="32"/>
          <w:szCs w:val="32"/>
          <w:lang w:eastAsia="zh-CN"/>
        </w:rPr>
        <w:t>工商统一税条例（草案）》同时废止。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　　中外合作开采海洋石油、天然气，按实物征收增值税，其税率和征收办法由国务院另行规定。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　　二、1993年12月31日前已批准设立的外商投资企业，由于依照本决定第一条的规定改征增值税、消费税、营业税而增加税负的，经企业申请，税务机关批准，在已批准的经营期限内，最长不超过五年，退还其因税负增加而多缴纳的税款；没有经营期限的，经企业申请，税务机关批准，在最长不超过五年的期限内，退还其因税负增加而多缴纳的税款。具体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　　三、除增值税、消费税、营业税外，其他税种对外商投资企业和外国企业的适用，法律有规定的，依照法律的规定执行；法律未作规定的，依照国务院的规定执行。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　　本决定所称外商投资企业，是指在中国境内设立的中外合资经营企业、中外合作经营企业和外资企业。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　　本决定所称外国企业，是指在中国境内设立机构、场所，从事生产、经营和虽未设立机构、场所，而有来源于中国境内所得的外国公司、企业和其他经济组织。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eastAsia="zh-CN"/>
        </w:rPr>
        <w:t>　　本决定自公布之日起施行。</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eastAsia="仿宋_GB2312"/>
        <w:lang w:eastAsia="zh-CN"/>
      </w:rPr>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eastAsia="仿宋_GB2312"/>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rPr>
        <w:rFonts w:hint="eastAsia" w:eastAsia="仿宋_GB2312"/>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rPr>
        <w:rFonts w:hint="eastAsia" w:eastAsia="仿宋_GB2312"/>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3"/>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7218A"/>
    <w:rsid w:val="0058408A"/>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114612A"/>
    <w:rsid w:val="01536DED"/>
    <w:rsid w:val="01752AAC"/>
    <w:rsid w:val="01B469FA"/>
    <w:rsid w:val="01C83F82"/>
    <w:rsid w:val="01DC570F"/>
    <w:rsid w:val="01ED4F47"/>
    <w:rsid w:val="02433708"/>
    <w:rsid w:val="02532F85"/>
    <w:rsid w:val="02976DB4"/>
    <w:rsid w:val="02D30040"/>
    <w:rsid w:val="02FD2D18"/>
    <w:rsid w:val="035A32E7"/>
    <w:rsid w:val="04075DA0"/>
    <w:rsid w:val="045364F3"/>
    <w:rsid w:val="0455383C"/>
    <w:rsid w:val="04C720A9"/>
    <w:rsid w:val="05672DBE"/>
    <w:rsid w:val="05791921"/>
    <w:rsid w:val="05AA243E"/>
    <w:rsid w:val="05B41644"/>
    <w:rsid w:val="06127E58"/>
    <w:rsid w:val="06505F15"/>
    <w:rsid w:val="066C6157"/>
    <w:rsid w:val="072208E6"/>
    <w:rsid w:val="073A1BFB"/>
    <w:rsid w:val="08210A6D"/>
    <w:rsid w:val="083776F8"/>
    <w:rsid w:val="08E15CF2"/>
    <w:rsid w:val="08F04E16"/>
    <w:rsid w:val="08F27B44"/>
    <w:rsid w:val="09557316"/>
    <w:rsid w:val="0A10592E"/>
    <w:rsid w:val="0AFA73A5"/>
    <w:rsid w:val="0B115E15"/>
    <w:rsid w:val="0B3D76BD"/>
    <w:rsid w:val="0B472062"/>
    <w:rsid w:val="0B957AC8"/>
    <w:rsid w:val="0C1F0A67"/>
    <w:rsid w:val="0C4A0C32"/>
    <w:rsid w:val="0C4E6F56"/>
    <w:rsid w:val="0C6F6F61"/>
    <w:rsid w:val="0C712C75"/>
    <w:rsid w:val="0CA9360A"/>
    <w:rsid w:val="0D2F2A95"/>
    <w:rsid w:val="0DB067DF"/>
    <w:rsid w:val="0E1D7ACC"/>
    <w:rsid w:val="0E6757EE"/>
    <w:rsid w:val="0EC81132"/>
    <w:rsid w:val="0F1B03E0"/>
    <w:rsid w:val="0F7267F3"/>
    <w:rsid w:val="0FD959F7"/>
    <w:rsid w:val="0FFD397B"/>
    <w:rsid w:val="10235F50"/>
    <w:rsid w:val="10BA279A"/>
    <w:rsid w:val="10FE7379"/>
    <w:rsid w:val="11113675"/>
    <w:rsid w:val="11282B54"/>
    <w:rsid w:val="11734617"/>
    <w:rsid w:val="11A12C00"/>
    <w:rsid w:val="11A84FC3"/>
    <w:rsid w:val="11F4242D"/>
    <w:rsid w:val="12E329DF"/>
    <w:rsid w:val="12F94867"/>
    <w:rsid w:val="13115BA4"/>
    <w:rsid w:val="13456A1E"/>
    <w:rsid w:val="13536D4D"/>
    <w:rsid w:val="135A0EBD"/>
    <w:rsid w:val="13897E98"/>
    <w:rsid w:val="13A61175"/>
    <w:rsid w:val="13DA2F60"/>
    <w:rsid w:val="13DC04E1"/>
    <w:rsid w:val="13F81611"/>
    <w:rsid w:val="140B5EE9"/>
    <w:rsid w:val="145E546C"/>
    <w:rsid w:val="14A25823"/>
    <w:rsid w:val="156F7B44"/>
    <w:rsid w:val="15995A00"/>
    <w:rsid w:val="15EC7437"/>
    <w:rsid w:val="16113436"/>
    <w:rsid w:val="16380025"/>
    <w:rsid w:val="16AE7646"/>
    <w:rsid w:val="1706691E"/>
    <w:rsid w:val="17FF786D"/>
    <w:rsid w:val="18B51337"/>
    <w:rsid w:val="18BE58F5"/>
    <w:rsid w:val="18D82DE7"/>
    <w:rsid w:val="18FD1C93"/>
    <w:rsid w:val="195472E4"/>
    <w:rsid w:val="19572DCF"/>
    <w:rsid w:val="196D085A"/>
    <w:rsid w:val="19926516"/>
    <w:rsid w:val="19A003D4"/>
    <w:rsid w:val="19A244F1"/>
    <w:rsid w:val="19B406D2"/>
    <w:rsid w:val="19D00875"/>
    <w:rsid w:val="19EF6131"/>
    <w:rsid w:val="19F86B68"/>
    <w:rsid w:val="19FC1879"/>
    <w:rsid w:val="1A291393"/>
    <w:rsid w:val="1A544118"/>
    <w:rsid w:val="1A951284"/>
    <w:rsid w:val="1AE977E5"/>
    <w:rsid w:val="1AEA1528"/>
    <w:rsid w:val="1AEB51C8"/>
    <w:rsid w:val="1B4A290B"/>
    <w:rsid w:val="1B742CAC"/>
    <w:rsid w:val="1BC81D1B"/>
    <w:rsid w:val="1C1A568A"/>
    <w:rsid w:val="1C385CB1"/>
    <w:rsid w:val="1C41029A"/>
    <w:rsid w:val="1C6C4378"/>
    <w:rsid w:val="1C7460EB"/>
    <w:rsid w:val="1CBB092C"/>
    <w:rsid w:val="1CD77FB4"/>
    <w:rsid w:val="1D150C13"/>
    <w:rsid w:val="1D1B75B3"/>
    <w:rsid w:val="1D80026E"/>
    <w:rsid w:val="1D853500"/>
    <w:rsid w:val="1DBD6DF9"/>
    <w:rsid w:val="1DED2F0F"/>
    <w:rsid w:val="1E8172BF"/>
    <w:rsid w:val="1E8D53F5"/>
    <w:rsid w:val="1F5065A0"/>
    <w:rsid w:val="1F5966B9"/>
    <w:rsid w:val="1F656E69"/>
    <w:rsid w:val="1FA039C8"/>
    <w:rsid w:val="1FC8408C"/>
    <w:rsid w:val="1FE87D0C"/>
    <w:rsid w:val="203F1849"/>
    <w:rsid w:val="20D01DDE"/>
    <w:rsid w:val="20FC134D"/>
    <w:rsid w:val="21C125C6"/>
    <w:rsid w:val="21D57742"/>
    <w:rsid w:val="22110D5F"/>
    <w:rsid w:val="222C4FF3"/>
    <w:rsid w:val="22F32310"/>
    <w:rsid w:val="234A77AB"/>
    <w:rsid w:val="241556E5"/>
    <w:rsid w:val="249465F6"/>
    <w:rsid w:val="249E027D"/>
    <w:rsid w:val="24A62D6F"/>
    <w:rsid w:val="24D82782"/>
    <w:rsid w:val="24FA630D"/>
    <w:rsid w:val="250D447D"/>
    <w:rsid w:val="251E1ADF"/>
    <w:rsid w:val="2700481D"/>
    <w:rsid w:val="273F33A8"/>
    <w:rsid w:val="27905B50"/>
    <w:rsid w:val="27AB2779"/>
    <w:rsid w:val="27D74852"/>
    <w:rsid w:val="28163A57"/>
    <w:rsid w:val="28705845"/>
    <w:rsid w:val="287452F1"/>
    <w:rsid w:val="28775F76"/>
    <w:rsid w:val="288C4FBB"/>
    <w:rsid w:val="289B0AAD"/>
    <w:rsid w:val="28DC1F86"/>
    <w:rsid w:val="29796485"/>
    <w:rsid w:val="29AB5F8D"/>
    <w:rsid w:val="29B02F2E"/>
    <w:rsid w:val="29B5065A"/>
    <w:rsid w:val="29CA37BE"/>
    <w:rsid w:val="29F03552"/>
    <w:rsid w:val="2A1121D2"/>
    <w:rsid w:val="2AA5267B"/>
    <w:rsid w:val="2B0E1263"/>
    <w:rsid w:val="2BD80DAF"/>
    <w:rsid w:val="2BEF0492"/>
    <w:rsid w:val="2CE878AE"/>
    <w:rsid w:val="2D140531"/>
    <w:rsid w:val="2DA035CF"/>
    <w:rsid w:val="2E0D47B0"/>
    <w:rsid w:val="2E2459E9"/>
    <w:rsid w:val="2E5001DC"/>
    <w:rsid w:val="2E8407AE"/>
    <w:rsid w:val="2E994720"/>
    <w:rsid w:val="2E9E26DA"/>
    <w:rsid w:val="2EAD573F"/>
    <w:rsid w:val="2EDE53EA"/>
    <w:rsid w:val="2EF92CE6"/>
    <w:rsid w:val="2F1067A5"/>
    <w:rsid w:val="2F1E0AC0"/>
    <w:rsid w:val="2F3B62DE"/>
    <w:rsid w:val="2F7753E6"/>
    <w:rsid w:val="2FE67FB8"/>
    <w:rsid w:val="30862D3E"/>
    <w:rsid w:val="30B2623B"/>
    <w:rsid w:val="30C11371"/>
    <w:rsid w:val="30E248B5"/>
    <w:rsid w:val="30E76E15"/>
    <w:rsid w:val="31114B5C"/>
    <w:rsid w:val="31485813"/>
    <w:rsid w:val="31793C92"/>
    <w:rsid w:val="31EC27C2"/>
    <w:rsid w:val="32204B2D"/>
    <w:rsid w:val="3258761C"/>
    <w:rsid w:val="32C13BCB"/>
    <w:rsid w:val="32D468F0"/>
    <w:rsid w:val="32E771C2"/>
    <w:rsid w:val="332E3801"/>
    <w:rsid w:val="337A1DE3"/>
    <w:rsid w:val="33804543"/>
    <w:rsid w:val="33DC369C"/>
    <w:rsid w:val="34AA7144"/>
    <w:rsid w:val="34E30421"/>
    <w:rsid w:val="353A3D20"/>
    <w:rsid w:val="3561739E"/>
    <w:rsid w:val="364206D1"/>
    <w:rsid w:val="367928AD"/>
    <w:rsid w:val="368B71C3"/>
    <w:rsid w:val="36A02196"/>
    <w:rsid w:val="373054A8"/>
    <w:rsid w:val="375B15C5"/>
    <w:rsid w:val="37722218"/>
    <w:rsid w:val="37D9127A"/>
    <w:rsid w:val="380C25F7"/>
    <w:rsid w:val="3815677A"/>
    <w:rsid w:val="38D667CC"/>
    <w:rsid w:val="38EC63E0"/>
    <w:rsid w:val="39163724"/>
    <w:rsid w:val="39563888"/>
    <w:rsid w:val="397E5147"/>
    <w:rsid w:val="39A04443"/>
    <w:rsid w:val="3A0A14DF"/>
    <w:rsid w:val="3A5D56A7"/>
    <w:rsid w:val="3A63644B"/>
    <w:rsid w:val="3A64672C"/>
    <w:rsid w:val="3A7924EA"/>
    <w:rsid w:val="3AB938F5"/>
    <w:rsid w:val="3B0839F0"/>
    <w:rsid w:val="3B212B6A"/>
    <w:rsid w:val="3B652282"/>
    <w:rsid w:val="3B715D42"/>
    <w:rsid w:val="3BF472F4"/>
    <w:rsid w:val="3C027D15"/>
    <w:rsid w:val="3CAC20BC"/>
    <w:rsid w:val="3CC67C71"/>
    <w:rsid w:val="3D1A1B85"/>
    <w:rsid w:val="3D4C361D"/>
    <w:rsid w:val="3D960247"/>
    <w:rsid w:val="3DA84431"/>
    <w:rsid w:val="3DD01EC8"/>
    <w:rsid w:val="3E5361F0"/>
    <w:rsid w:val="3F4E3E71"/>
    <w:rsid w:val="3F9D1D56"/>
    <w:rsid w:val="3FC40654"/>
    <w:rsid w:val="3FF5508E"/>
    <w:rsid w:val="40051369"/>
    <w:rsid w:val="4077115F"/>
    <w:rsid w:val="40B167FD"/>
    <w:rsid w:val="40C32ACC"/>
    <w:rsid w:val="40CE6964"/>
    <w:rsid w:val="4105777D"/>
    <w:rsid w:val="41E6440D"/>
    <w:rsid w:val="421026A6"/>
    <w:rsid w:val="421056DD"/>
    <w:rsid w:val="42C97640"/>
    <w:rsid w:val="42F34663"/>
    <w:rsid w:val="43A507B2"/>
    <w:rsid w:val="43D7314E"/>
    <w:rsid w:val="441B20A7"/>
    <w:rsid w:val="44477155"/>
    <w:rsid w:val="44B97BBE"/>
    <w:rsid w:val="44BC0EEC"/>
    <w:rsid w:val="451E3A1F"/>
    <w:rsid w:val="4523578E"/>
    <w:rsid w:val="46011A9C"/>
    <w:rsid w:val="46310313"/>
    <w:rsid w:val="465B7A2D"/>
    <w:rsid w:val="46C04ADB"/>
    <w:rsid w:val="46D27753"/>
    <w:rsid w:val="46EF1CFC"/>
    <w:rsid w:val="472F4A39"/>
    <w:rsid w:val="47692B37"/>
    <w:rsid w:val="480C1776"/>
    <w:rsid w:val="482A39F4"/>
    <w:rsid w:val="484676F9"/>
    <w:rsid w:val="48821792"/>
    <w:rsid w:val="488903F6"/>
    <w:rsid w:val="488F34FA"/>
    <w:rsid w:val="48B7717A"/>
    <w:rsid w:val="496F2866"/>
    <w:rsid w:val="499F1C81"/>
    <w:rsid w:val="49B74EED"/>
    <w:rsid w:val="49C77146"/>
    <w:rsid w:val="49DE5AEE"/>
    <w:rsid w:val="4B4B7A2E"/>
    <w:rsid w:val="4B8F0049"/>
    <w:rsid w:val="4BAA5A55"/>
    <w:rsid w:val="4BDA4269"/>
    <w:rsid w:val="4C0419F1"/>
    <w:rsid w:val="4CC50419"/>
    <w:rsid w:val="4CD31862"/>
    <w:rsid w:val="4CD94309"/>
    <w:rsid w:val="4D825F77"/>
    <w:rsid w:val="4E254F79"/>
    <w:rsid w:val="4E6233D9"/>
    <w:rsid w:val="4EA912FA"/>
    <w:rsid w:val="4EFA0BBA"/>
    <w:rsid w:val="4F4C1311"/>
    <w:rsid w:val="4FC91D2A"/>
    <w:rsid w:val="50136C36"/>
    <w:rsid w:val="503965D2"/>
    <w:rsid w:val="505D4573"/>
    <w:rsid w:val="508D590D"/>
    <w:rsid w:val="51735543"/>
    <w:rsid w:val="51E11B82"/>
    <w:rsid w:val="529A450B"/>
    <w:rsid w:val="52C400A2"/>
    <w:rsid w:val="53086B80"/>
    <w:rsid w:val="532B71C6"/>
    <w:rsid w:val="53590E7B"/>
    <w:rsid w:val="535E2742"/>
    <w:rsid w:val="537631F0"/>
    <w:rsid w:val="539E1CB4"/>
    <w:rsid w:val="54627235"/>
    <w:rsid w:val="546727D1"/>
    <w:rsid w:val="549422DF"/>
    <w:rsid w:val="54D8753B"/>
    <w:rsid w:val="55154CBB"/>
    <w:rsid w:val="5568167D"/>
    <w:rsid w:val="56755F92"/>
    <w:rsid w:val="56C01FF7"/>
    <w:rsid w:val="575F1CE8"/>
    <w:rsid w:val="581D3378"/>
    <w:rsid w:val="584E2C39"/>
    <w:rsid w:val="5928067F"/>
    <w:rsid w:val="59D0424A"/>
    <w:rsid w:val="5A2A794A"/>
    <w:rsid w:val="5A2C6166"/>
    <w:rsid w:val="5A872E9D"/>
    <w:rsid w:val="5B113E66"/>
    <w:rsid w:val="5B3D084E"/>
    <w:rsid w:val="5B9E0086"/>
    <w:rsid w:val="5BFE6CDB"/>
    <w:rsid w:val="5C094B1A"/>
    <w:rsid w:val="5C620BCD"/>
    <w:rsid w:val="5CBF06D3"/>
    <w:rsid w:val="5CDC2017"/>
    <w:rsid w:val="5D6043A4"/>
    <w:rsid w:val="5E0A489B"/>
    <w:rsid w:val="5E35342E"/>
    <w:rsid w:val="5E507EB1"/>
    <w:rsid w:val="5E7B54A5"/>
    <w:rsid w:val="5EB52566"/>
    <w:rsid w:val="5F33439C"/>
    <w:rsid w:val="5F4C376B"/>
    <w:rsid w:val="5F5F4B7E"/>
    <w:rsid w:val="5F676508"/>
    <w:rsid w:val="5FA875EF"/>
    <w:rsid w:val="5FBC030E"/>
    <w:rsid w:val="5FC878D7"/>
    <w:rsid w:val="5FD17796"/>
    <w:rsid w:val="60086C76"/>
    <w:rsid w:val="6092074A"/>
    <w:rsid w:val="61F45D11"/>
    <w:rsid w:val="62616B7A"/>
    <w:rsid w:val="62663FCF"/>
    <w:rsid w:val="62A7695F"/>
    <w:rsid w:val="62C52A52"/>
    <w:rsid w:val="62C61FE0"/>
    <w:rsid w:val="62E80063"/>
    <w:rsid w:val="63AC1DAA"/>
    <w:rsid w:val="63FA2618"/>
    <w:rsid w:val="64046D73"/>
    <w:rsid w:val="64074483"/>
    <w:rsid w:val="64AF02A5"/>
    <w:rsid w:val="6501697A"/>
    <w:rsid w:val="653A70E2"/>
    <w:rsid w:val="654227F1"/>
    <w:rsid w:val="65B36928"/>
    <w:rsid w:val="667828EE"/>
    <w:rsid w:val="667D68BC"/>
    <w:rsid w:val="6701413B"/>
    <w:rsid w:val="670C1027"/>
    <w:rsid w:val="6712556C"/>
    <w:rsid w:val="677230E6"/>
    <w:rsid w:val="67736D4C"/>
    <w:rsid w:val="67C662D9"/>
    <w:rsid w:val="67D54F59"/>
    <w:rsid w:val="688463A2"/>
    <w:rsid w:val="69264901"/>
    <w:rsid w:val="692E7C33"/>
    <w:rsid w:val="69550CD7"/>
    <w:rsid w:val="697D069F"/>
    <w:rsid w:val="69832966"/>
    <w:rsid w:val="69D0267A"/>
    <w:rsid w:val="69D57AE6"/>
    <w:rsid w:val="69F735D2"/>
    <w:rsid w:val="69FD024B"/>
    <w:rsid w:val="6AC4794C"/>
    <w:rsid w:val="6B2F007F"/>
    <w:rsid w:val="6B313C00"/>
    <w:rsid w:val="6B7E2114"/>
    <w:rsid w:val="6B8C41DF"/>
    <w:rsid w:val="6BBB3F42"/>
    <w:rsid w:val="6C1E17DE"/>
    <w:rsid w:val="6C6D0995"/>
    <w:rsid w:val="6C9D2623"/>
    <w:rsid w:val="6D270E6B"/>
    <w:rsid w:val="6D971AAC"/>
    <w:rsid w:val="6D994A87"/>
    <w:rsid w:val="6D9E70FD"/>
    <w:rsid w:val="6DF16AC6"/>
    <w:rsid w:val="6E1C3416"/>
    <w:rsid w:val="6E9F6159"/>
    <w:rsid w:val="6F0A4781"/>
    <w:rsid w:val="6F251499"/>
    <w:rsid w:val="6F53261B"/>
    <w:rsid w:val="6F556051"/>
    <w:rsid w:val="6FFD3649"/>
    <w:rsid w:val="700D6A62"/>
    <w:rsid w:val="702110DE"/>
    <w:rsid w:val="702C5F51"/>
    <w:rsid w:val="70417D84"/>
    <w:rsid w:val="705C4D37"/>
    <w:rsid w:val="706F08B4"/>
    <w:rsid w:val="706F2BBF"/>
    <w:rsid w:val="708A61A4"/>
    <w:rsid w:val="70AB5662"/>
    <w:rsid w:val="70B32443"/>
    <w:rsid w:val="70BE4961"/>
    <w:rsid w:val="71003C14"/>
    <w:rsid w:val="710841D5"/>
    <w:rsid w:val="716D1DF0"/>
    <w:rsid w:val="720D55B2"/>
    <w:rsid w:val="72406E3D"/>
    <w:rsid w:val="72521469"/>
    <w:rsid w:val="72B21701"/>
    <w:rsid w:val="72B73F34"/>
    <w:rsid w:val="72C61728"/>
    <w:rsid w:val="72D74859"/>
    <w:rsid w:val="73A74AC6"/>
    <w:rsid w:val="73BB283A"/>
    <w:rsid w:val="741052E8"/>
    <w:rsid w:val="74277147"/>
    <w:rsid w:val="74355E6F"/>
    <w:rsid w:val="74C624BD"/>
    <w:rsid w:val="75376A22"/>
    <w:rsid w:val="75945A26"/>
    <w:rsid w:val="75AF3B03"/>
    <w:rsid w:val="765418A8"/>
    <w:rsid w:val="768D6542"/>
    <w:rsid w:val="76AC1C2B"/>
    <w:rsid w:val="77737B37"/>
    <w:rsid w:val="77EA0340"/>
    <w:rsid w:val="7874776C"/>
    <w:rsid w:val="78786794"/>
    <w:rsid w:val="78C41D57"/>
    <w:rsid w:val="78FD2E43"/>
    <w:rsid w:val="79035D61"/>
    <w:rsid w:val="793C2072"/>
    <w:rsid w:val="79565D92"/>
    <w:rsid w:val="7982668D"/>
    <w:rsid w:val="79956161"/>
    <w:rsid w:val="79C013FD"/>
    <w:rsid w:val="7A0B4ACC"/>
    <w:rsid w:val="7A6300A5"/>
    <w:rsid w:val="7AC32ADB"/>
    <w:rsid w:val="7AC6664A"/>
    <w:rsid w:val="7B3958BC"/>
    <w:rsid w:val="7B4B5D0A"/>
    <w:rsid w:val="7BC52FFD"/>
    <w:rsid w:val="7C0D4000"/>
    <w:rsid w:val="7C6348EF"/>
    <w:rsid w:val="7C7848BE"/>
    <w:rsid w:val="7CCA3C97"/>
    <w:rsid w:val="7CF35360"/>
    <w:rsid w:val="7D3D0CCB"/>
    <w:rsid w:val="7D686817"/>
    <w:rsid w:val="7D6B01FC"/>
    <w:rsid w:val="7DD71DE2"/>
    <w:rsid w:val="7DDB0940"/>
    <w:rsid w:val="7DE561FA"/>
    <w:rsid w:val="7E2E3374"/>
    <w:rsid w:val="7E663F33"/>
    <w:rsid w:val="7EAA10AD"/>
    <w:rsid w:val="7EB42D38"/>
    <w:rsid w:val="7F062C12"/>
    <w:rsid w:val="7F9A16C8"/>
    <w:rsid w:val="7FC00F90"/>
    <w:rsid w:val="7FDB57DD"/>
    <w:rsid w:val="7FDD58A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2"/>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1"/>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5"/>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3"/>
    <w:qFormat/>
    <w:uiPriority w:val="99"/>
    <w:pPr>
      <w:tabs>
        <w:tab w:val="center" w:pos="4153"/>
        <w:tab w:val="right" w:pos="8306"/>
      </w:tabs>
      <w:snapToGrid w:val="0"/>
      <w:jc w:val="left"/>
    </w:pPr>
    <w:rPr>
      <w:sz w:val="18"/>
      <w:szCs w:val="18"/>
    </w:rPr>
  </w:style>
  <w:style w:type="paragraph" w:styleId="9">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7"/>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9"/>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2">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3">
    <w:name w:val="1.1"/>
    <w:basedOn w:val="4"/>
    <w:link w:val="30"/>
    <w:qFormat/>
    <w:uiPriority w:val="0"/>
    <w:pPr>
      <w:numPr>
        <w:ilvl w:val="1"/>
        <w:numId w:val="1"/>
      </w:numPr>
      <w:ind w:firstLine="0"/>
      <w:jc w:val="left"/>
    </w:pPr>
    <w:rPr>
      <w:rFonts w:ascii="Calibri" w:hAnsi="Calibri" w:eastAsia="宋体"/>
      <w:sz w:val="30"/>
    </w:rPr>
  </w:style>
  <w:style w:type="character" w:customStyle="1" w:styleId="24">
    <w:name w:val="页眉 Char"/>
    <w:link w:val="9"/>
    <w:qFormat/>
    <w:uiPriority w:val="99"/>
    <w:rPr>
      <w:rFonts w:eastAsia="仿宋_GB2312"/>
      <w:kern w:val="2"/>
      <w:sz w:val="18"/>
      <w:szCs w:val="18"/>
    </w:rPr>
  </w:style>
  <w:style w:type="character" w:customStyle="1" w:styleId="25">
    <w:name w:val="纯文本 Char"/>
    <w:link w:val="6"/>
    <w:qFormat/>
    <w:uiPriority w:val="99"/>
    <w:rPr>
      <w:rFonts w:ascii="宋体" w:hAnsi="Courier New" w:cs="Courier New"/>
      <w:kern w:val="2"/>
      <w:sz w:val="21"/>
      <w:szCs w:val="21"/>
    </w:rPr>
  </w:style>
  <w:style w:type="character" w:customStyle="1" w:styleId="26">
    <w:name w:val="纯文本 Char1"/>
    <w:qFormat/>
    <w:uiPriority w:val="0"/>
    <w:rPr>
      <w:rFonts w:ascii="宋体" w:hAnsi="Courier New" w:cs="Courier New"/>
      <w:kern w:val="2"/>
      <w:sz w:val="21"/>
      <w:szCs w:val="21"/>
    </w:rPr>
  </w:style>
  <w:style w:type="character" w:customStyle="1" w:styleId="27">
    <w:name w:val="副标题 Char"/>
    <w:link w:val="11"/>
    <w:qFormat/>
    <w:uiPriority w:val="0"/>
    <w:rPr>
      <w:rFonts w:ascii="Cambria" w:hAnsi="Cambria" w:cs="Times New Roman"/>
      <w:b/>
      <w:bCs/>
      <w:kern w:val="28"/>
      <w:sz w:val="32"/>
      <w:szCs w:val="32"/>
    </w:rPr>
  </w:style>
  <w:style w:type="character" w:customStyle="1" w:styleId="28">
    <w:name w:val="标题 1 Char"/>
    <w:link w:val="2"/>
    <w:qFormat/>
    <w:uiPriority w:val="0"/>
    <w:rPr>
      <w:rFonts w:eastAsia="仿宋_GB2312"/>
      <w:b/>
      <w:bCs/>
      <w:kern w:val="44"/>
      <w:sz w:val="44"/>
      <w:szCs w:val="44"/>
    </w:rPr>
  </w:style>
  <w:style w:type="character" w:customStyle="1" w:styleId="29">
    <w:name w:val="标题 Char"/>
    <w:link w:val="13"/>
    <w:qFormat/>
    <w:uiPriority w:val="0"/>
    <w:rPr>
      <w:rFonts w:ascii="Cambria" w:hAnsi="Cambria" w:cs="Times New Roman"/>
      <w:b/>
      <w:bCs/>
      <w:kern w:val="2"/>
      <w:sz w:val="32"/>
      <w:szCs w:val="32"/>
    </w:rPr>
  </w:style>
  <w:style w:type="character" w:customStyle="1" w:styleId="30">
    <w:name w:val="1.1 Char"/>
    <w:link w:val="23"/>
    <w:qFormat/>
    <w:uiPriority w:val="0"/>
    <w:rPr>
      <w:rFonts w:ascii="Calibri" w:hAnsi="Calibri"/>
      <w:b/>
      <w:bCs/>
      <w:kern w:val="2"/>
      <w:sz w:val="30"/>
      <w:szCs w:val="32"/>
    </w:rPr>
  </w:style>
  <w:style w:type="character" w:customStyle="1" w:styleId="31">
    <w:name w:val="标题 3 Char"/>
    <w:link w:val="4"/>
    <w:semiHidden/>
    <w:qFormat/>
    <w:uiPriority w:val="0"/>
    <w:rPr>
      <w:rFonts w:eastAsia="仿宋_GB2312"/>
      <w:b/>
      <w:bCs/>
      <w:kern w:val="2"/>
      <w:sz w:val="32"/>
      <w:szCs w:val="32"/>
    </w:rPr>
  </w:style>
  <w:style w:type="character" w:customStyle="1" w:styleId="32">
    <w:name w:val="标题 2 Char"/>
    <w:link w:val="3"/>
    <w:qFormat/>
    <w:uiPriority w:val="9"/>
    <w:rPr>
      <w:rFonts w:ascii="Cambria" w:hAnsi="Cambria"/>
      <w:b/>
      <w:bCs/>
      <w:kern w:val="2"/>
      <w:sz w:val="32"/>
      <w:szCs w:val="32"/>
    </w:rPr>
  </w:style>
  <w:style w:type="character" w:customStyle="1" w:styleId="33">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2</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2023-02-18T02:13:09Z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