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ascii="Times New Roman" w:hAnsi="Times New Roman" w:cs="Times New Roman"/>
          <w:sz w:val="44"/>
          <w:szCs w:val="44"/>
        </w:rPr>
      </w:pPr>
      <w:bookmarkStart w:id="0" w:name="_GoBack"/>
    </w:p>
    <w:p>
      <w:pPr>
        <w:pStyle w:val="3"/>
        <w:jc w:val="center"/>
        <w:rPr>
          <w:rFonts w:ascii="Times New Roman" w:hAnsi="Times New Roman" w:cs="Times New Roman"/>
          <w:sz w:val="32"/>
          <w:szCs w:val="32"/>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劳动保险条例</w:t>
      </w:r>
    </w:p>
    <w:p>
      <w:pPr>
        <w:pStyle w:val="3"/>
        <w:ind w:firstLine="640" w:firstLineChars="200"/>
        <w:rPr>
          <w:rFonts w:ascii="方正楷体_GBK" w:hAnsi="方正楷体_GBK" w:eastAsia="方正楷体_GBK" w:cs="方正楷体_GBK"/>
          <w:sz w:val="32"/>
          <w:szCs w:val="32"/>
        </w:rPr>
      </w:pPr>
    </w:p>
    <w:p>
      <w:pPr>
        <w:pStyle w:val="3"/>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jc w:val="center"/>
        <w:rPr>
          <w:rFonts w:ascii="方正黑体_GBK" w:eastAsia="方正黑体_GBK"/>
        </w:rPr>
      </w:pPr>
      <w:r>
        <w:rPr>
          <w:rFonts w:hint="eastAsia" w:ascii="方正黑体_GBK" w:hAnsi="Times New Roman" w:eastAsia="方正黑体_GBK" w:cs="Times New Roman"/>
        </w:rPr>
        <w:t>第一章　总则</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为了保护工人职员的健康，减轻其生活中的困难，特依据目前经济条件，制定本条例。</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本条例的实施，采取逐步推广办法，目前的实施范围暂定如下：</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甲、有工人职员一百人以上的国营、公私合营、私营及合作社经营的工厂、矿场及其附属单位；</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乙、铁路、航运、邮电的各企业单位与附属单位；</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丙、工、矿、交通事业的基本建设单位；</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丁、国营建筑公司。</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关于本条例的实施范围继续推广办法由中央人民政府劳动部根据实际情况随时提出意见，报请中央人民政府政务院决定之。</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不实行本条例的企业及季节性的企业，其有关劳动保险事项，得由各该企业或其所属产业或行业的行政方面或资方与工会组织，根据本条例的原则及本企业、本产业或本行业的实际情况协商，订立集体合同规定之。</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凡在实行劳动保险的企业内工作的工人与职员(包括学徒)，不分民族、年龄、性别和国籍，均适用本条例，但被剥夺政治权利者除外。</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凡在实行劳动保险的企业内工作的临时工、季节工与试用人员，其劳动保险待遇在本条例实施细则中另行规定之。</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本条例适用范围内的企业，因经济特殊困难不易维持，或尚未正式开工营业者，经企业行政方面或资方与工会基层委员会双方协商同意，并报请当地人民政府劳动行政机关批准后，可暂缓实行本条例。</w:t>
      </w:r>
    </w:p>
    <w:p>
      <w:pPr>
        <w:pStyle w:val="2"/>
        <w:jc w:val="center"/>
      </w:pPr>
      <w:r>
        <w:rPr>
          <w:rFonts w:hint="eastAsia" w:ascii="方正黑体_GBK" w:hAnsi="Times New Roman" w:eastAsia="方正黑体_GBK" w:cs="Times New Roman"/>
        </w:rPr>
        <w:t>第二章　劳动保险金的征集与保管</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本条例所规定之劳动保险的各项费用，全部由实行劳动保险的企业行政方面或资方负担，其中一部分由企业行政方面或资方直接支付，另一部分由企业行政方面或资方缴纳劳动保险金，交工会组织办理。</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凡根据本条例实行劳动保险的企业，其行政方面或资方须按月缴纳相当于各该企业全部工人与职员工资总额的百分之三，作为劳动保险金。此项劳动保险金，不得在工人与职员工资内扣除，并不得向工人与职员另行征收。</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劳动保险金的征集与保管方法如下：</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甲、企业行政方面或资方，须按照上月份工资总额计算，于每月一日至十日限期内，一次向中华全国总工会指定代收劳动保险金的国家银行缴纳每月应缴的劳动保险金。</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乙、在开始实行劳动保险的头两个月内，由企业行政方面或资方按月缴纳的劳动保险金，全数存于中华全国总工会户内，作为劳动保险总基金，为举办集体劳动保险事业之用。自开始实行的第三个月起，每月缴纳的劳动保险金，其中百分之三十，存于中华全国总工会户内，作为劳动保险总基金；百分之七十存于各该企业工会基层委员会户内，作为劳动保险基金，为支付工人与职员按照本条例应得的抚恤费、补助费与救济费之用。</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企业行政方面或资方逾期未缴或欠缴劳动保险金时，须每日增交滞纳金，其数额为未缴部分百分之一。如逾期二十日尚未缴纳，对于国营、地方国营、公私合营或合作社经营的企业，由工会基层委员会通知当地国家银行从其经费中扣缴；对于私营企业，由工会基层委员会报告当地人民政府劳动行政机关，对该企业资方追究责任。</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劳动保险金的保管，由中华全国总工会委托中国人民银行代理之。</w:t>
      </w:r>
    </w:p>
    <w:p>
      <w:pPr>
        <w:pStyle w:val="2"/>
        <w:jc w:val="center"/>
        <w:rPr>
          <w:rFonts w:ascii="方正黑体_GBK" w:eastAsia="方正黑体_GBK"/>
        </w:rPr>
      </w:pPr>
      <w:r>
        <w:rPr>
          <w:rFonts w:hint="eastAsia" w:ascii="方正黑体_GBK" w:hAnsi="Times New Roman" w:eastAsia="方正黑体_GBK" w:cs="Times New Roman"/>
        </w:rPr>
        <w:t>第三章　各项劳动保险待遇的规定</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因工负伤、残废待遇的规定：</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甲、工人与职员因工负伤，应在该企业医疗所、医院或特约医院医治。如该企业医疗所、医院或特约医院无法治疗时，应由该企业行政方面或资方转送其他医院医治。其全部诊疗费、药费、住院费、住院时的膳费与就医路费，均由企业行政方面或资方负担。在医疗期间，工资照发。</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乙、工人与职员因工负伤确定为残废时，按下列情况，由劳动保险基金项下按月付给因工残废抚恤费或因工残废补助费：</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一、完全丧失劳动力不能工作退职后，饮食起居需人扶助者，其因工残废抚恤费的数额为本人工资百分之七十五，付至死亡时止。</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二、完全丧失劳动力不能工作退职后，饮食起居不需人扶助者，其因工残废抚恤费的数额为本人工资百分之六十，付至恢复劳动力或死亡时止。劳动力恢复后应由企业行政方面或资方给予适当工作。</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三、部分丧失劳动力尚能工作者，应由企业行政方面或资方分配适当工作，并由劳动保险基金项下，按其残废后丧失劳动力的程度，付给因工残废补助费，其数额为残废前本人工资的百分之十至三十，但与残废后复工时的工资合计不得超过残废前本人工资。详细办法在实施细则中规定之。</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丙、工人与职员因工负伤而致残废者，其残废状况的确定与变更，由残废审查委员会审定。详细办法在实施细则中规定之。</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疾病、非因工负伤、残废待遇的规定：</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甲、工人与职员疾病或非因工负伤，在该企业医疗所、医院、特约医院或特约中西医师处医治时，其所需诊疗费、手术费、住院费及普通药费均由企业行政方面或资方负担；贵重药费、住院的膳费及就医路费由本人负担，如本人经济状况确有困难，得由劳动保险基金项下酌予补助。患病及非因工负伤的工人职员，应否住院或转院医治及出院时间，应完全由医院决定之。</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乙、工人与职员因病或非因工负伤停止工作医疗时，其停止工作医疗期间连续在六个月以内者，按其本企业工龄的长短，由该企业行政方面或资方发给病伤假期工资，其数额为本人工资百分之六十至百分之一百；停止工作连续医疗期间在六个月以上时，改由劳动保险基金项下按月付给疾病或非因工负伤救济费，其数额为本人工资百分之四十至百分之六十，至能工作或确定为残废或死亡时止。详细办法在实施细则中规定之。</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丙、工人与职员因病或非因工负伤医疗终结确定为残废，完全丧失劳动力退职后，病伤假期工资或疾病非因工负伤救济费停发，改由劳动保险基金项下发给非因工残废救济费，其数额按下列情况规定之：饮食起居需人扶助者为本人工资百分之五十，饮食起居不需人扶助者为本人工资百分之四十，至恢复劳动力或死亡时止；部分丧失劳动力尚能工作者不予发给。关于残废状况的确定与变更，适用第十二条丙款的规定。</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丁、工人与职员疾病或非因工负伤痊愈或非因工残废恢复劳动力后，经负责医疗机关提出证明，该企业行政方面或资方应给予适当工作。</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戊、工人与职员供养的直系亲属患病时，得在该企业医疗所、医院、特约医院或特约中西医师处免费诊治，手术费及普通药费，由企业行政方面或资方负担二分之一，贵重药费、就医路费、住院费、住院时的膳费及其他一切费用，均由本人自理。</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工人与职员及其供养的直系亲属死亡时待遇的规定：</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甲、工人与职员因工死亡时，由该企业行政方面或资方发给丧葬费，其数额为该企业全部工人与职员平均工资三个月；另由劳动保险基金项下，按其供养的直系亲属人数，每月付给供养直系亲属抚恤费，其数额为死者本人工资百分之二十五至百分之五十，至受供养者失去受供养的条件时为止。详细办法在实施细则中规定之。</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乙、工人与职员因病或非因工负伤死亡时，由劳动保险基金项下付给丧葬补助费，其数额为该企业全部工人与职员平均工资两个月。另由劳动保险基金项下，按其供养直系亲属人数，付给供养直系亲属救济费，其数额为死者本人工资六个月到十二个月。详细办法在实施细则中规定之。</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丙、工人与职员因工负伤致成残废完全丧失劳动力退职后死亡时，应按本条甲款的规定，付给丧葬费及供养直系亲属抚恤费。退职养老后死亡时或非因工残废完全丧失劳动力退职后死亡时，应按本条乙款的规定，付给丧葬补助费及供养直系亲属救济费。</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丁、工人与职员供养的直系亲属死亡时，由劳动保险基金项下付给供养直系亲属丧葬补助费：死者年龄在十周岁以上者，其数额为该企业全部工人与职员平均工资一个月的二分之一；一周岁至十周岁者，为平均工资一个月的三分之一。不满一周岁者不给。</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养老待遇的规定：</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甲、男工人与男职员年满六十岁，一般工龄满二十五年，本企业工龄满五年者，可退职养老。退职后，由劳动保险基金项下，按其本企业工龄的长短，按月付给退职养老补助费，其数额为本人工资的百分之五十至七十，付至死亡时止。合于养老条件，但因该企业工作的需要，留其继续工作者，除发给原有工资外，应由劳动保险基金项下，按其本企业工龄的长短，每月付给在职养老补助费，其数额为本人工资百分之十至二十。详细办法在实施细则中规定之。</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乙、女工人与女职员年满五十岁，一般工龄满二十年，本企业工龄满五年者，得享受本条甲款规定的养老补助费待遇。</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丙、井下矿工或固定在华氏三十二度以下的低温工作场所或华氏一百度以上的高温工作场所工作者，男工人与男职员年满五十五岁，女工人与女职员年满四十五岁，均得享受本条甲款规定的养老补助费待遇。计算其一般工龄及本企业工龄时，每在此种场所工作一年，均作一年零三个月计算。</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丁、在提炼或制造铅、汞、砒、磷、酸的工业中及其他化学、兵工工业中，直接从事有害身体健康工作者，男工人与男职员年满五十五岁，女工人与女职员年满四十五岁，均得享受本条甲款规定的养老补助费待遇。计算其一般工龄及本企业工龄时，每从事此种工作一年，均作一年零六个月计算。</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生育待遇的规定：</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甲、女工人与女职员生育，产前产后共给假五十六日，产假期间，工资照发。</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乙、女工人与女职员怀孕不满七个月小产时，得根据医师的意见给予三十日以内的产假，产假期间，工资照发。</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丙、女工人与女职员难产或双生时，增给假期十四日，工资照发。</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丁、女工人与女职员怀孕，在该企业医疗所、医院或特约医院检查或分娩时，其检查费与接生费由企业行政方面或资方负担，其他费用均按第十三条甲款的规定处理。</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戊、产假期满(不论正产或小产)仍不能工作者，经医院证明后，按第十三条关于疾病待遇的规定处理之。</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己、女工人与女职员或男工人与男职员之妻生育时，由劳动保险基金项下发给生育补助费四万元。</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集体劳动保险事业的规定：</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甲、凡在实行劳动保险的企业内工作的工人与职员，均有享受集体劳动保险事业的权利。详细办法由中华全国总工会制定之。</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乙、各企业工会基层委员会得根据各该企业的经济情况及工人与职员的需要，与企业行政方面或资方共同办理疗养所、业余疗养所、托儿所等集体劳动保险事业。详细办法在实施细则中规定之。</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丙、中华全国总工会可举办或委托各地方或各产业工会组织举办下列各项集体劳动保险事业：</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一、疗养所；</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二、休养所；</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三、养老院；</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四、孤儿保育院；</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五、残废院；</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六、其他。</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凡在实行劳动保险的企业内工作的工人与职员，未加入工会者，除因工负伤、残废、死亡待遇，生育待遇，因病或非因工负伤治疗待遇，供养直系亲属疾病治疗待遇，均得按本条例的规定享受外，其他各项，如疾病或非因工负伤医疗期间的工资与救济费，非因工残废救济费，供养直系亲属救济费，养老补助费，丧葬补助费，只能领取规定额的半数。</w:t>
      </w:r>
    </w:p>
    <w:p>
      <w:pPr>
        <w:pStyle w:val="2"/>
        <w:jc w:val="center"/>
        <w:rPr>
          <w:rFonts w:ascii="方正黑体_GBK" w:eastAsia="方正黑体_GBK"/>
        </w:rPr>
      </w:pPr>
      <w:r>
        <w:rPr>
          <w:rFonts w:hint="eastAsia" w:ascii="方正黑体_GBK" w:hAnsi="Times New Roman" w:eastAsia="方正黑体_GBK" w:cs="Times New Roman"/>
        </w:rPr>
        <w:t>第四章　享受优异劳动保险待遇的规定</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凡对本企业有特殊贡献的劳动模范及转入本企业工作的战斗英雄，经工会基层委员会提出，并经各省、市工会组织或产业工会全国委员会的批准，得享受下列较优异的劳动保险待遇：</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甲、疾病或非因工负伤的贵重药费、就医路费、住院膳费，概由企业行政方面或资方负担。</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乙、疾病或非因工负伤医疗期间前六个月工资照发。疾病或非因工负伤救济费及非因工残废救济费，一律付给本人工资百分之六十。因工残废抚恤费为本人工资百分之一百。因工残废补助费为残废前本人工资与残废后复工时本人工资的差额。因工死亡供养直系亲属抚恤费为本人工资百分之三十至百分之六十。退职养老补助费为本人工资百分之六十至百分之八十。在职养老补助费为本人工资百分之二十至百分之三十。详细办法在实施细则中规定之。</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丙、有享受集体劳动保险事业的优先权。</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残废军人转入本企业工作者，疾病或非因工负伤停止工作医疗期间，不计本企业工龄长短，前六个月工资照发；六个月以后，仍按第十三条乙款规定办理。</w:t>
      </w:r>
    </w:p>
    <w:p>
      <w:pPr>
        <w:pStyle w:val="2"/>
        <w:jc w:val="center"/>
        <w:rPr>
          <w:rFonts w:ascii="方正黑体_GBK" w:eastAsia="方正黑体_GBK"/>
        </w:rPr>
      </w:pPr>
      <w:r>
        <w:rPr>
          <w:rFonts w:hint="eastAsia" w:ascii="方正黑体_GBK" w:hAnsi="Times New Roman" w:eastAsia="方正黑体_GBK" w:cs="Times New Roman"/>
        </w:rPr>
        <w:t>第五章　劳动保险金的支配</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劳动保险金的支配办法如下：</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甲、劳动保险总基金由中华全国总工会用以举办集体劳动保险事业。</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乙、劳动保险基金由工会基层委员会用以支付各项抚恤费、补助费与救济费及本企业集体劳动保险事业的补助费。每月结算一次，其余额全部转入省、市工会组织或产业工会全国委员会户内，作为劳动保险调剂金(以下简称调剂金)。</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丙、调剂金由省、市工会组织或产业工会全国委员会用于对所属各工会基层委员会劳动保险基金不足开支时的补助或举办集体劳动保险事业之用。各产业工会全国委员会得授权其地方机构，掌管调剂金的调用。中华全国总工会对所属各省、市工会组织、各产业工会全国委员会的调剂金，有统筹调用之权，并得用以举办集体劳动保险事业。如省、市工会组织或产业工会全国委员会调剂金不足开支，得申请中华全国总工会调拨调剂金补助之。</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劳动保险金，除用于劳动保险事业外，不得移作其他用途。</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各企业的会计部门，均须设立劳动保险基金的独立会计，负责办理劳动保险基金的收支事宜。劳动保险基金会计制度，由中央人民政府劳动部会同中华全国总工会制定之。</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第二十四条　</w:t>
      </w:r>
      <w:r>
        <w:rPr>
          <w:rFonts w:hint="eastAsia" w:ascii="仿宋_GB2312" w:hAnsi="Times New Roman" w:eastAsia="仿宋_GB2312" w:cs="Times New Roman"/>
          <w:sz w:val="32"/>
          <w:szCs w:val="32"/>
        </w:rPr>
        <w:t>劳动保险调剂金的收支事宜，由各级工会组织的财务部门根据中华全国总工会的规定办理之。</w:t>
      </w:r>
    </w:p>
    <w:p>
      <w:pPr>
        <w:pStyle w:val="2"/>
        <w:jc w:val="center"/>
        <w:rPr>
          <w:rFonts w:ascii="方正黑体_GBK" w:eastAsia="方正黑体_GBK"/>
        </w:rPr>
      </w:pPr>
      <w:r>
        <w:rPr>
          <w:rFonts w:hint="eastAsia" w:ascii="方正黑体_GBK" w:hAnsi="Times New Roman" w:eastAsia="方正黑体_GBK" w:cs="Times New Roman"/>
        </w:rPr>
        <w:t>第六章　劳动保险事业的执行与监督</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第二十五条　</w:t>
      </w:r>
      <w:r>
        <w:rPr>
          <w:rFonts w:hint="eastAsia" w:ascii="仿宋_GB2312" w:hAnsi="Times New Roman" w:eastAsia="仿宋_GB2312" w:cs="Times New Roman"/>
          <w:sz w:val="32"/>
          <w:szCs w:val="32"/>
        </w:rPr>
        <w:t>各工会基层委员会，为执行劳动保险业务的基层单位，其主要工作为：督促劳动保险金的缴纳；决定劳动保险基金的支付；监督本条例所规定由企业行政方面或资方直接支付的各项费用的开支；推动该企业改进集体劳动保险事业及医疗卫生工作；执行一切有关劳动保险的实际业务；每月编造劳动保险基金月报表，每年编造预算、决算、业务计划书及业务报告书，报告省、市工会组织和产业工会全国委员会及当地人民政府劳动行政机关；并向工会全体会员大会或代表大会报告工作。</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第二十六条　</w:t>
      </w:r>
      <w:r>
        <w:rPr>
          <w:rFonts w:hint="eastAsia" w:ascii="仿宋_GB2312" w:hAnsi="Times New Roman" w:eastAsia="仿宋_GB2312" w:cs="Times New Roman"/>
          <w:sz w:val="32"/>
          <w:szCs w:val="32"/>
        </w:rPr>
        <w:t>各工会基层委员会的经费审查委员会，应按月审核劳动保险基金收支帐目及本条例所规定的由企业行政方面或资方直接支付的各项费用，并公布之。</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第二十七条　</w:t>
      </w:r>
      <w:r>
        <w:rPr>
          <w:rFonts w:hint="eastAsia" w:ascii="仿宋_GB2312" w:hAnsi="Times New Roman" w:eastAsia="仿宋_GB2312" w:cs="Times New Roman"/>
          <w:sz w:val="32"/>
          <w:szCs w:val="32"/>
        </w:rPr>
        <w:t>各省、市工会组织，各产业工会全国委员会或地区委员会对所属各工会基层委员会的劳动保险业务，负指导督促之责，审核劳动保险基金的收支月报表、预算、决算及劳动保险基金的收支有无错误，接受工人与职员有关劳动保险事件的申诉，每月编造劳动保险基金及调剂金的收支月报表，每年编造预算、决算、业务计划书及业务报告书，并依下列程序报告：</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甲、各省、市工会组织向当地人民政府劳动行政机关及大行政区工会组织报告；</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乙、各产业工会全国委员会向中华全国总工会及中央人民政府劳动部报告。</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第二十八条　</w:t>
      </w:r>
      <w:r>
        <w:rPr>
          <w:rFonts w:hint="eastAsia" w:ascii="仿宋_GB2312" w:hAnsi="Times New Roman" w:eastAsia="仿宋_GB2312" w:cs="Times New Roman"/>
          <w:sz w:val="32"/>
          <w:szCs w:val="32"/>
        </w:rPr>
        <w:t>各大行政区工会组织对所属各省、市工会组织及其区域内产业工会组织的劳动保险工作，负指导督促之责，审核省、市工会组织劳动保险基金及调剂金的收支月报表、预算、决算、业务计划书及业务报告书，并每三个月编造劳动保险基金收支报告，每年编造预算、决算、业务计划书及业务报告书，报告所在地大行政区人民政府劳动部、中央人民政府劳动部及中华全国总工会。</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第二十九条　</w:t>
      </w:r>
      <w:r>
        <w:rPr>
          <w:rFonts w:hint="eastAsia" w:ascii="仿宋_GB2312" w:hAnsi="Times New Roman" w:eastAsia="仿宋_GB2312" w:cs="Times New Roman"/>
          <w:sz w:val="32"/>
          <w:szCs w:val="32"/>
        </w:rPr>
        <w:t>中华全国总工会为全国劳动保险事业的最高领导机关，统筹全国劳动保险事业的进行，督导所属各地方工会组织、各产业工会组织有关劳动保险事业的执行；审核并汇编劳动保险基金及总基金的收支报告表，每年编造劳动保险金的预算、决算、业务计划书及业务报告书，并送中央人民政府劳动部、财政部备查。</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第三十条　</w:t>
      </w:r>
      <w:r>
        <w:rPr>
          <w:rFonts w:hint="eastAsia" w:ascii="仿宋_GB2312" w:hAnsi="Times New Roman" w:eastAsia="仿宋_GB2312" w:cs="Times New Roman"/>
          <w:sz w:val="32"/>
          <w:szCs w:val="32"/>
        </w:rPr>
        <w:t>各级人民政府劳动行政机关应监督劳动保险金的缴纳，检查劳动保险业务的执行，并处理有关劳动保险事件的申诉。</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第三十一条　</w:t>
      </w:r>
      <w:r>
        <w:rPr>
          <w:rFonts w:hint="eastAsia" w:ascii="仿宋_GB2312" w:hAnsi="Times New Roman" w:eastAsia="仿宋_GB2312" w:cs="Times New Roman"/>
          <w:sz w:val="32"/>
          <w:szCs w:val="32"/>
        </w:rPr>
        <w:t>中央人民政府劳动部为全国劳动保险业务的最高监督机关，负责贯彻劳动保险条例的实施，检查全国劳动保险业务的执行，其检查制度另订之。</w:t>
      </w:r>
    </w:p>
    <w:p>
      <w:pPr>
        <w:pStyle w:val="2"/>
        <w:jc w:val="center"/>
        <w:rPr>
          <w:rFonts w:ascii="方正黑体_GBK" w:eastAsia="方正黑体_GBK"/>
        </w:rPr>
      </w:pPr>
      <w:r>
        <w:rPr>
          <w:rFonts w:hint="eastAsia" w:ascii="方正黑体_GBK" w:hAnsi="Times New Roman" w:eastAsia="方正黑体_GBK" w:cs="Times New Roman"/>
        </w:rPr>
        <w:t>第七章　附则</w:t>
      </w:r>
    </w:p>
    <w:p>
      <w:pPr>
        <w:ind w:firstLine="640" w:firstLineChars="200"/>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本条例由</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楷体_GBK">
    <w:altName w:val="微软雅黑"/>
    <w:panose1 w:val="00000000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方正黑体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4097" o:spid="_x0000_s4097"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- 3 -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1237291C"/>
    <w:rsid w:val="0004696D"/>
    <w:rsid w:val="0014239E"/>
    <w:rsid w:val="002F42AB"/>
    <w:rsid w:val="003465E7"/>
    <w:rsid w:val="00390FF9"/>
    <w:rsid w:val="0043402B"/>
    <w:rsid w:val="00464BD9"/>
    <w:rsid w:val="0099234D"/>
    <w:rsid w:val="00AC7513"/>
    <w:rsid w:val="00B325F4"/>
    <w:rsid w:val="00B72F38"/>
    <w:rsid w:val="00EE4303"/>
    <w:rsid w:val="00FB6E69"/>
    <w:rsid w:val="015C15A3"/>
    <w:rsid w:val="079F026C"/>
    <w:rsid w:val="101153C1"/>
    <w:rsid w:val="11324011"/>
    <w:rsid w:val="1237291C"/>
    <w:rsid w:val="196B6531"/>
    <w:rsid w:val="1C504CBC"/>
    <w:rsid w:val="1CEE016D"/>
    <w:rsid w:val="1F54382F"/>
    <w:rsid w:val="2C952BFA"/>
    <w:rsid w:val="31DB69C8"/>
    <w:rsid w:val="3E316E80"/>
    <w:rsid w:val="59C16F41"/>
    <w:rsid w:val="79D10685"/>
    <w:rsid w:val="7AE766C3"/>
    <w:rsid w:val="7F020A6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Cs/>
      <w:sz w:val="32"/>
      <w:szCs w:val="32"/>
    </w:rPr>
  </w:style>
  <w:style w:type="character" w:default="1" w:styleId="7">
    <w:name w:val="Default Paragraph Font"/>
    <w:semiHidden/>
    <w:unhideWhenUsed/>
    <w:uiPriority w:val="1"/>
  </w:style>
  <w:style w:type="table" w:default="1" w:styleId="9">
    <w:name w:val="Normal Table"/>
    <w:semiHidden/>
    <w:unhideWhenUsed/>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footnote text"/>
    <w:basedOn w:val="1"/>
    <w:semiHidden/>
    <w:unhideWhenUsed/>
    <w:qFormat/>
    <w:uiPriority w:val="99"/>
    <w:pPr>
      <w:snapToGrid w:val="0"/>
      <w:jc w:val="left"/>
    </w:pPr>
    <w:rPr>
      <w:sz w:val="18"/>
      <w:szCs w:val="18"/>
    </w:rPr>
  </w:style>
  <w:style w:type="character" w:styleId="8">
    <w:name w:val="footnote reference"/>
    <w:basedOn w:val="7"/>
    <w:semiHidden/>
    <w:unhideWhenUsed/>
    <w:qFormat/>
    <w:uiPriority w:val="99"/>
    <w:rPr>
      <w:vertAlign w:val="superscript"/>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14</Pages>
  <Words>940</Words>
  <Characters>5358</Characters>
  <Lines>44</Lines>
  <Paragraphs>12</Paragraphs>
  <TotalTime>0</TotalTime>
  <ScaleCrop>false</ScaleCrop>
  <LinksUpToDate>false</LinksUpToDate>
  <CharactersWithSpaces>6286</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2019-05-23T02:02:00Z</dcterms:created>
  <dc:creator>Administrator</dc:creator>
  <cp:lastModifiedBy>Administrator</cp:lastModifiedBy>
  <cp:lastPrinted>2019-05-25T10:17:00Z</cp:lastPrinted>
  <dcterms:modified xsi:type="dcterms:W3CDTF">2023-06-07T07:11:59Z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