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台湾同胞投资</w:t>
      </w:r>
    </w:p>
    <w:p>
      <w:pPr>
        <w:pStyle w:val="2"/>
        <w:jc w:val="center"/>
        <w:rPr>
          <w:rFonts w:ascii="Times New Roman" w:hAnsi="Times New Roman" w:cs="Times New Roman"/>
          <w:sz w:val="44"/>
          <w:szCs w:val="44"/>
        </w:rPr>
      </w:pPr>
      <w:r>
        <w:rPr>
          <w:rFonts w:ascii="Times New Roman" w:hAnsi="Times New Roman" w:cs="Times New Roman"/>
          <w:sz w:val="44"/>
          <w:szCs w:val="44"/>
        </w:rPr>
        <w:t>保护法实施细则</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为了保护和鼓励台湾同胞投资，促进海峡两岸的经济发展，实施《</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台湾同胞投资保护法》，制定本实施细则。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本实施细则所称台湾同胞投资是指台湾地区的公司、企业、其他经济组织或者个人作为投资者在其他省、自治区</w:t>
      </w:r>
      <w:r>
        <w:rPr>
          <w:rFonts w:hint="eastAsia" w:ascii="仿宋_GB2312" w:hAnsi="仿宋_GB2312" w:eastAsia="仿宋_GB2312" w:cs="仿宋_GB2312"/>
          <w:sz w:val="32"/>
          <w:szCs w:val="32"/>
        </w:rPr>
        <w:t>和直辖市(以下简称大陆)的</w:t>
      </w:r>
      <w:r>
        <w:rPr>
          <w:rFonts w:ascii="Times New Roman" w:hAnsi="Times New Roman" w:eastAsia="仿宋_GB2312" w:cs="Times New Roman"/>
          <w:sz w:val="32"/>
          <w:szCs w:val="32"/>
        </w:rPr>
        <w:t>投资。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国家依法保护台湾同胞投资。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台湾同胞投资者的投资、投资收益和其他合法权益受国家法律保护，任何机关、单位或者个人不得侵占、损害。</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国家依法鼓励台湾同胞投资。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台湾同胞投资依照国家有关法律、行政法规和本实施细则的规定，享受优惠待遇。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台湾同胞投资适用《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台湾同胞投资保护法》和本实施细则；《</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台湾同胞投资保护法》和本实施细则未规定的，比照适用国家有关涉外经济法律、行政法规。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台湾同胞投资，应当与国家国民经济和社会发展规划相适应，符合国家产业政策和投资导向的要求，比照适用国家关于指导外商投资方向的规定。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台湾同胞投资者可以用可自由兑换货币、机器设备或者其他实物、工业产权、非专利技术等作为投资。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台湾同胞投资者可以用投资获得的收益进行再投资。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台湾同胞投资，可以依法采用下列投资形式：</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(一)举办全部或者部分由台湾同胞投资者投资的企业（以下简称台湾同胞投资企业）；</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(二)合作勘探开发自然资源；</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(三)开展补偿贸易、加工装配、合作生产；</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(四)购买企业的股票、债券；</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(五)购置房产；</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(六)取得土地使用权，开发经营；</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(七)购买国有小型企业或者集体企业、私营企业；</w:t>
      </w:r>
    </w:p>
    <w:p>
      <w:pPr>
        <w:pStyle w:val="2"/>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(八)法律、行政法规允许的其他投资形式。</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台湾同胞投资者进行投资，需要审批的，依照国家有关法律、行政法规规定的程序办理审批手续。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审批机关审批台湾同胞投资，应当提高办事效率，减少管理层次，简化审批程序，做到管理制度统一、公开、透明。</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台湾同胞投资企业依照国家有关法律、行政法规的规定，享受税收优惠待遇。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投资于大陆中西部地区的台湾同胞投资项目，可以按照国家有关规定给予鼓励或者适当放宽限制。</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台湾同胞投资企业符合贷款原则的，可以按照国家有关规定给予必要的信贷支持。</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个人及其随行家属和台湾同胞投资企业中的台湾同胞职工及其随行家属，可以依照国家有关法律、行政法规的规定，向公安机关申请办理一定期限多次入出境手续和相应期限的暂住手续。台湾同胞投资企业中的外籍职工的入出境和暂住手续，依照国家有关法律、行政法规的规定办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台湾同胞投资者个人的子女和台湾同胞投资企业中的台湾同胞职工的子女，可以按照国家有关规定进入大陆的小学、中学和高等学校接受教育。</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台湾同胞投资者或者台湾同胞投资企业协会在台湾同胞投资集中的地区，可以按照国家有关规定申请设立台湾同胞子女学校。经批准设立的台湾同胞子女学校应当接受教育行政部门的监督。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hint="eastAsia" w:ascii="Times New Roman" w:hAnsi="Times New Roman" w:eastAsia="仿宋_GB2312" w:cs="Times New Roman"/>
          <w:sz w:val="32"/>
          <w:szCs w:val="32"/>
        </w:rPr>
        <w:t>台湾同胞投资企业依法享有经营管理的自主权。</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台湾同胞投资企业经营管理的自主权受国家法律保护，不受任何机关、单位或者个人的非法干预和侵犯。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台湾同胞投资企业在购买机器设备、原材料及辅料等物资以及获得水、电、热、货物运输、劳务、广告、通信等服务方面，享有与大陆其他同类企业同等的待遇。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台湾同胞投资者个人和台湾同胞投资企业中的台湾同胞职工在交通、通信、旅游、旅馆住宿等方面，享有与大陆同胞同等的待遇。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十八</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台湾同胞投资者投资的财产、工业产权、投资收益和其他合法权益，可以依法转让和继承。</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台湾同胞投资者依法获得的投资收益、其他合法收入和清算后的资金，可以依法汇回台湾或者汇往境外。</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台湾同胞投资企业中的台湾同胞职工的合法收入，可以依法汇回台湾或者汇往境外。</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台湾同胞投资者可以委托亲友或者他人作为其投资的代理人，代理人应当持有具有法律效力的授权委托书。</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一</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国家机关对台湾同胞投资企业收费的项目和标准，应当与大陆其他同类企业相同。任何机关或者单位不得对台湾同胞投资企业另立收费项目或者提高收费标准。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机关或者单位不得向台湾同胞投资企业摊派人力、物力、财力，不得对台湾同胞投资企业进行法律、法规规定以外的检查、罚款，不得违反国家规定强制或者变相强制台湾同胞投资企业参加各类培训、评比、鉴定、考核等活动。</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台湾同胞投资企业对违反上述规定的行为，有权拒绝并向政府有关部门举报。接受举报的政府部门应当依法作出处理，并为举报人保密。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二</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对台湾同胞投资者的投资不实行国有化和征收；在特殊情况下，根据社会公共利益的需要，对台湾同胞投资者的投资可以依照法律程序实行征收，并给予相应的补偿。补偿相当于该投资在征收决定前一刻的价值，包括从征收之日起至支付之日止按合理利率计算的利息，并可以依法兑换外汇、汇回台湾或者汇往境外。</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三</w:t>
      </w:r>
      <w:r>
        <w:rPr>
          <w:rFonts w:ascii="Times New Roman" w:hAnsi="Times New Roman" w:eastAsia="黑体" w:cs="Times New Roman"/>
          <w:sz w:val="32"/>
          <w:szCs w:val="32"/>
        </w:rPr>
        <w:t>条　</w:t>
      </w:r>
      <w:r>
        <w:rPr>
          <w:rFonts w:ascii="Times New Roman" w:hAnsi="Times New Roman" w:eastAsia="仿宋_GB2312" w:cs="Times New Roman"/>
          <w:sz w:val="32"/>
          <w:szCs w:val="32"/>
        </w:rPr>
        <w:t>国家依法保护台湾同胞投资者个人及其随行家属和台湾同胞投资企业中的台湾同胞职工及其随行家属的人身自由和人身安全。除依照国家有关法律规定办理的外，不得对台湾同胞采取限制人身自由的强制措施。</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四</w:t>
      </w:r>
      <w:r>
        <w:rPr>
          <w:rFonts w:ascii="Times New Roman" w:hAnsi="Times New Roman" w:eastAsia="黑体" w:cs="Times New Roman"/>
          <w:sz w:val="32"/>
          <w:szCs w:val="32"/>
        </w:rPr>
        <w:t>条　</w:t>
      </w:r>
      <w:r>
        <w:rPr>
          <w:rFonts w:ascii="Times New Roman" w:hAnsi="Times New Roman" w:eastAsia="仿宋_GB2312" w:cs="Times New Roman"/>
          <w:sz w:val="32"/>
          <w:szCs w:val="32"/>
        </w:rPr>
        <w:t>在台湾同胞投资企业集中的地区，可以依法成立台湾同胞投资企业协会。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台湾同胞投资企业协会的合法权益以及按照其章程所进行的合法活动，受法律保护。</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五</w:t>
      </w:r>
      <w:r>
        <w:rPr>
          <w:rFonts w:ascii="Times New Roman" w:hAnsi="Times New Roman" w:eastAsia="黑体" w:cs="Times New Roman"/>
          <w:sz w:val="32"/>
          <w:szCs w:val="32"/>
        </w:rPr>
        <w:t>条　</w:t>
      </w:r>
      <w:r>
        <w:rPr>
          <w:rFonts w:ascii="Times New Roman" w:hAnsi="Times New Roman" w:eastAsia="仿宋_GB2312" w:cs="Times New Roman"/>
          <w:sz w:val="32"/>
          <w:szCs w:val="32"/>
        </w:rPr>
        <w:t>各级人民政府应当对台湾同胞投资提供优质、规范、方便的服务。各级人民政府台湾事务办事机构应当做好台湾同胞投资的法律宣传与咨询、投诉受理和纠纷解决等工作。</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六</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台湾同胞投资者、台湾同胞投资企业、台湾同胞投资企业协会认为行政机关或者行政机关工作人员的具体行政行为侵犯其合法权益的，可以依照国家有关法律、行政法规的规定，申请行政复议或者提起行政诉讼。</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lang w:eastAsia="zh-CN"/>
        </w:rPr>
        <w:t>七</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台湾同胞投资者与大陆的公司、企业、其他经济组织或者个人之间发生的与投资有关的争议，当事人可以通过协商或者调解解决。</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当事人不愿协商、调解的，或者经协商、调解不成的，可以依照合同中的仲裁条款或者事后达成的书面仲裁协议，提交中国的仲裁机构仲裁。大陆的仲裁机构可以按照国家有关规定聘请台湾同胞担任仲裁员。</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当事人未在合同中订立仲裁条款，事后又未达成书面仲裁协议的，可以向人民法院提起诉讼。</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二十八</w:t>
      </w:r>
      <w:r>
        <w:rPr>
          <w:rFonts w:ascii="Times New Roman" w:hAnsi="Times New Roman" w:eastAsia="黑体" w:cs="Times New Roman"/>
          <w:sz w:val="32"/>
          <w:szCs w:val="32"/>
        </w:rPr>
        <w:t>条　</w:t>
      </w:r>
      <w:r>
        <w:rPr>
          <w:rFonts w:ascii="Times New Roman" w:hAnsi="Times New Roman" w:eastAsia="仿宋_GB2312" w:cs="Times New Roman"/>
          <w:sz w:val="32"/>
          <w:szCs w:val="32"/>
        </w:rPr>
        <w:t>台湾同胞以其设在其他国家或者地区的公司、企业或者其他经济组织作为投资者在大陆投资的，可以比照适用本实施细则。</w:t>
      </w:r>
    </w:p>
    <w:p>
      <w:pPr>
        <w:ind w:firstLine="640" w:firstLineChars="200"/>
      </w:pPr>
      <w:r>
        <w:rPr>
          <w:rFonts w:ascii="Times New Roman" w:hAnsi="Times New Roman" w:eastAsia="黑体" w:cs="Times New Roman"/>
          <w:sz w:val="32"/>
          <w:szCs w:val="32"/>
        </w:rPr>
        <w:t>第</w:t>
      </w:r>
      <w:r>
        <w:rPr>
          <w:rFonts w:hint="eastAsia" w:ascii="Times New Roman" w:hAnsi="Times New Roman" w:eastAsia="黑体" w:cs="Times New Roman"/>
          <w:sz w:val="32"/>
          <w:szCs w:val="32"/>
          <w:lang w:eastAsia="zh-CN"/>
        </w:rPr>
        <w:t>二十九</w:t>
      </w:r>
      <w:r>
        <w:rPr>
          <w:rFonts w:ascii="Times New Roman" w:hAnsi="Times New Roman" w:eastAsia="黑体" w:cs="Times New Roman"/>
          <w:sz w:val="32"/>
          <w:szCs w:val="32"/>
        </w:rPr>
        <w:t>条　</w:t>
      </w:r>
      <w:r>
        <w:rPr>
          <w:rFonts w:ascii="Times New Roman" w:hAnsi="Times New Roman" w:eastAsia="仿宋_GB2312" w:cs="Times New Roman"/>
          <w:sz w:val="32"/>
          <w:szCs w:val="32"/>
        </w:rPr>
        <w:t>本实施细则自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ECD298A"/>
    <w:rsid w:val="00261F47"/>
    <w:rsid w:val="00B27228"/>
    <w:rsid w:val="00ED63CE"/>
    <w:rsid w:val="05A70C14"/>
    <w:rsid w:val="09BD3F67"/>
    <w:rsid w:val="17217741"/>
    <w:rsid w:val="30475E4F"/>
    <w:rsid w:val="419C4B45"/>
    <w:rsid w:val="41AB2D2F"/>
    <w:rsid w:val="59480839"/>
    <w:rsid w:val="5ECD298A"/>
    <w:rsid w:val="735F79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FollowedHyperlink"/>
    <w:basedOn w:val="5"/>
    <w:qFormat/>
    <w:uiPriority w:val="0"/>
    <w:rPr>
      <w:color w:val="000000"/>
      <w:u w:val="none"/>
    </w:rPr>
  </w:style>
  <w:style w:type="character" w:styleId="7">
    <w:name w:val="Hyperlink"/>
    <w:basedOn w:val="5"/>
    <w:qFormat/>
    <w:uiPriority w:val="0"/>
    <w:rPr>
      <w:color w:val="000000"/>
      <w:u w:val="none"/>
    </w:rPr>
  </w:style>
  <w:style w:type="character" w:styleId="8">
    <w:name w:val="HTML Code"/>
    <w:basedOn w:val="5"/>
    <w:qFormat/>
    <w:uiPriority w:val="0"/>
    <w:rPr>
      <w:rFonts w:ascii="Courier New" w:hAnsi="Courier New"/>
      <w:sz w:val="20"/>
    </w:rPr>
  </w:style>
  <w:style w:type="character" w:customStyle="1" w:styleId="10">
    <w:name w:val="more"/>
    <w:basedOn w:val="5"/>
    <w:qFormat/>
    <w:uiPriority w:val="0"/>
    <w:rPr>
      <w:color w:val="666666"/>
      <w:sz w:val="18"/>
      <w:szCs w:val="18"/>
    </w:rPr>
  </w:style>
  <w:style w:type="character" w:customStyle="1" w:styleId="11">
    <w:name w:val="bg02"/>
    <w:basedOn w:val="5"/>
    <w:qFormat/>
    <w:uiPriority w:val="0"/>
  </w:style>
  <w:style w:type="character" w:customStyle="1" w:styleId="12">
    <w:name w:val="dates"/>
    <w:basedOn w:val="5"/>
    <w:qFormat/>
    <w:uiPriority w:val="0"/>
  </w:style>
  <w:style w:type="character" w:customStyle="1" w:styleId="13">
    <w:name w:val="name"/>
    <w:basedOn w:val="5"/>
    <w:qFormat/>
    <w:uiPriority w:val="0"/>
    <w:rPr>
      <w:color w:val="6A6A6A"/>
      <w:u w:val="single"/>
    </w:rPr>
  </w:style>
  <w:style w:type="character" w:customStyle="1" w:styleId="14">
    <w:name w:val="m01"/>
    <w:basedOn w:val="5"/>
    <w:qFormat/>
    <w:uiPriority w:val="0"/>
  </w:style>
  <w:style w:type="character" w:customStyle="1" w:styleId="15">
    <w:name w:val="m011"/>
    <w:basedOn w:val="5"/>
    <w:qFormat/>
    <w:uiPriority w:val="0"/>
  </w:style>
  <w:style w:type="character" w:customStyle="1" w:styleId="16">
    <w:name w:val="tabg"/>
    <w:basedOn w:val="5"/>
    <w:qFormat/>
    <w:uiPriority w:val="0"/>
    <w:rPr>
      <w:color w:val="FFFFFF"/>
      <w:sz w:val="27"/>
      <w:szCs w:val="27"/>
    </w:rPr>
  </w:style>
  <w:style w:type="character" w:customStyle="1" w:styleId="17">
    <w:name w:val="laypage_curr"/>
    <w:basedOn w:val="5"/>
    <w:qFormat/>
    <w:uiPriority w:val="0"/>
    <w:rPr>
      <w:color w:val="FFFDF4"/>
      <w:shd w:val="clear" w:fill="0B67A6"/>
    </w:rPr>
  </w:style>
  <w:style w:type="character" w:customStyle="1" w:styleId="18">
    <w:name w:val="font"/>
    <w:basedOn w:val="5"/>
    <w:qFormat/>
    <w:uiPriority w:val="0"/>
  </w:style>
  <w:style w:type="character" w:customStyle="1" w:styleId="19">
    <w:name w:val="font1"/>
    <w:basedOn w:val="5"/>
    <w:qFormat/>
    <w:uiPriority w:val="0"/>
  </w:style>
  <w:style w:type="character" w:customStyle="1" w:styleId="20">
    <w:name w:val="bg01"/>
    <w:basedOn w:val="5"/>
    <w:qFormat/>
    <w:uiPriority w:val="0"/>
  </w:style>
  <w:style w:type="character" w:customStyle="1" w:styleId="21">
    <w:name w:val="hover16"/>
    <w:basedOn w:val="5"/>
    <w:qFormat/>
    <w:uiPriority w:val="0"/>
    <w:rPr>
      <w:color w:val="015293"/>
    </w:rPr>
  </w:style>
  <w:style w:type="character" w:customStyle="1" w:styleId="22">
    <w:name w:val="more4"/>
    <w:basedOn w:val="5"/>
    <w:qFormat/>
    <w:uiPriority w:val="0"/>
    <w:rPr>
      <w:color w:val="666666"/>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441</Words>
  <Characters>2519</Characters>
  <Lines>20</Lines>
  <Paragraphs>5</Paragraphs>
  <TotalTime>5</TotalTime>
  <ScaleCrop>false</ScaleCrop>
  <LinksUpToDate>false</LinksUpToDate>
  <CharactersWithSpaces>2955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2019-05-22T15:55:00Z</dcterms:created>
  <dc:creator>Administrator</dc:creator>
  <cp:lastModifiedBy>Administrator</cp:lastModifiedBy>
  <dcterms:modified xsi:type="dcterms:W3CDTF">2023-06-07T07:34:47Z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