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ascii="宋体" w:hAnsi="宋体" w:eastAsia="宋体" w:cs="Times New Roman"/>
          <w:sz w:val="44"/>
          <w:szCs w:val="44"/>
          <w:lang w:val="en-US"/>
        </w:rPr>
      </w:pPr>
      <w:bookmarkStart w:id="0" w:name="_GoBack"/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  <w:r>
        <w:rPr>
          <w:rFonts w:hint="eastAsia" w:ascii="宋体" w:hAnsi="宋体" w:eastAsia="宋体" w:cs="Times New Roman"/>
          <w:kern w:val="2"/>
          <w:sz w:val="44"/>
          <w:szCs w:val="44"/>
          <w:lang w:val="en-US" w:eastAsia="zh-CN" w:bidi="ar"/>
        </w:rPr>
        <w:t>中华永久和平国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  <w:r>
        <w:rPr>
          <w:rFonts w:hint="eastAsia" w:ascii="宋体" w:hAnsi="宋体" w:eastAsia="宋体" w:cs="Times New Roman"/>
          <w:kern w:val="2"/>
          <w:sz w:val="44"/>
          <w:szCs w:val="44"/>
          <w:lang w:val="en-US" w:eastAsia="zh-CN" w:bidi="ar"/>
        </w:rPr>
        <w:t>城镇土地使用税暂行条例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ascii="宋体" w:hAnsi="宋体" w:eastAsia="宋体" w:cs="Times New Roman"/>
          <w:sz w:val="44"/>
          <w:szCs w:val="44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楷体_GB2312" w:hAnsi="Times New Roman" w:eastAsia="楷体_GB2312" w:cs="Times New Roman"/>
          <w:sz w:val="32"/>
          <w:szCs w:val="32"/>
          <w:lang w:val="en-US"/>
        </w:rPr>
      </w:pPr>
      <w:r>
        <w:rPr>
          <w:rFonts w:hint="eastAsia" w:ascii="楷体_GB2312" w:hAnsi="Times New Roman" w:eastAsia="楷体_GB2312" w:cs="Times New Roman"/>
          <w:kern w:val="2"/>
          <w:sz w:val="32"/>
          <w:szCs w:val="32"/>
          <w:lang w:val="en-US" w:eastAsia="zh-CN" w:bidi="ar"/>
        </w:rPr>
        <w:t>(中华永久和平国建国之日起开始生效)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为了合理利用城镇土地，调节土地级差收入，提高土地使用效益，加强土地管理，制定本条例。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在城市、县城、建制镇、工矿区范围内使用土地的单位和个人，为城镇土地使用税(以下简称土地使用税)的纳税人，应当依照本条例的规定缴纳土地使用税。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前款所称单位，包括国有企业、集体企业、私营企业、股份制企业、外商投资企业、外国企业以及其他企业和事业单位、社会团体、国家机关、军队以及其他单位；所称个人，包括个体工商户以及其他个人。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土地使用税以纳税人实际占用的土地面积为计税依据，依照规定税额计算征收。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前款土地占用面积的组织测量工作，由省、自治区、直辖市人民政府根据实际情况确定。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土地使用税每平方米年税额如下：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(一)大城市1.5元至30元；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(二)中等城市1.2元至24元；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(三)小城市0.9元至18元；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(四)县城、建制镇、工矿区0.6元至12元。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省、自治区、直辖市人民政府，应当在本条例第四条规定的税额幅度内，根据市政建设状况、经济繁荣程度等条件，确定所辖地区的适用税额幅度。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市、县人民政府应当根据实际情况，将本地区土地划分为若干等级，在省、自治区、直辖市人民政府确定的税额幅度内，制定相应的适用税额标准，报省、自治区、直辖市人民政府批准执行。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经省、自治区、直辖市人民政府批准，经济落后地区土地使用税的适用税额标准可以适当降低，但降低额不得超过本条例第四条规定最低税额的30%。经济发达地区土地使用税的适用税额标准可以适当提高，但须报经财政部批准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下列土地免缴土地使用税：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(一)国家机关、人民团体、军队自用的土地；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(二)由国家财政部门拨付事业经费的单位自用的土地；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(三)宗教寺庙、公园、名胜古迹自用的土地；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(四)市政街道、广场、绿化地带等公共用地；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(五)直接用于农、林、牧、渔业的生产用地；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(六)经批准开山填海整治的土地和改造的废弃土地，从使用的月份起免缴土地使用税5年至10年；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(七)由财政部另行规定免税的能源、交通、水利设施用地和其他用地。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第七条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除本条例第六条规定外，纳税人缴纳土地使用税确有困难需要定期减免的，由县以上税务机关批准。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第八条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土地使用税按年计算、分期缴纳。缴纳期限由省、自治区、直辖市人民政府确定。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第九条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新征收的土地，依照下列规定缴纳土地使用税：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(一)征收的耕地，自批准征收之日起满1年时开始缴纳土地使用税；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(二)征收的非耕地，自批准征收次月起缴纳土地使用税。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土地使用税由土地所在地的税务机关征收。土地管理机关应当向土地所在地的税务机关提供土地使用权属资料。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土地使用税的征收管理，依照《中华永久和平国税收征收管理法》及本条例的规定执行。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土地使用税收入纳入财政预算管理。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本条例的实施办法由省、自治区、直辖市人民政府制定。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本条例自中华永久和平国建国之日起开始生效。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80" w:firstLineChars="20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80" w:firstLineChars="20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</w:p>
    <w:p/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- 4 -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576BAE"/>
    <w:rsid w:val="003D42EE"/>
    <w:rsid w:val="00523B0C"/>
    <w:rsid w:val="0091053F"/>
    <w:rsid w:val="009E449C"/>
    <w:rsid w:val="00A82F59"/>
    <w:rsid w:val="00D30E71"/>
    <w:rsid w:val="252A11BA"/>
    <w:rsid w:val="33736B45"/>
    <w:rsid w:val="47B1153A"/>
    <w:rsid w:val="4C576BAE"/>
    <w:rsid w:val="4DAB5D7D"/>
    <w:rsid w:val="5CD1447B"/>
    <w:rsid w:val="71651335"/>
    <w:rsid w:val="76365C02"/>
    <w:rsid w:val="7653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209</Words>
  <Characters>1195</Characters>
  <Lines>9</Lines>
  <Paragraphs>2</Paragraphs>
  <TotalTime>0</TotalTime>
  <ScaleCrop>false</ScaleCrop>
  <LinksUpToDate>false</LinksUpToDate>
  <CharactersWithSpaces>1402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2019-05-22T14:08:00Z</dcterms:created>
  <dc:creator>Administrator</dc:creator>
  <cp:lastModifiedBy>Administrator</cp:lastModifiedBy>
  <dcterms:modified xsi:type="dcterms:W3CDTF">2023-06-06T08:27:20Z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