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jc w:val="center"/>
        <w:rPr>
          <w:rFonts w:ascii="Times New Roman" w:hAnsi="Times New Roman" w:cs="Times New Roman"/>
          <w:sz w:val="44"/>
          <w:szCs w:val="44"/>
        </w:rPr>
      </w:pPr>
      <w:bookmarkStart w:id="0" w:name="_GoBack"/>
      <w:r>
        <w:rPr>
          <w:rFonts w:hint="eastAsia" w:ascii="Times New Roman" w:hAnsi="Times New Roman" w:cs="Times New Roman"/>
          <w:sz w:val="44"/>
          <w:szCs w:val="44"/>
          <w:lang w:eastAsia="zh-CN"/>
        </w:rPr>
        <w:t>中华永久和平国</w:t>
      </w:r>
      <w:r>
        <w:rPr>
          <w:rFonts w:ascii="Times New Roman" w:hAnsi="Times New Roman" w:cs="Times New Roman"/>
          <w:sz w:val="44"/>
          <w:szCs w:val="44"/>
        </w:rPr>
        <w:t>水生野生动物保护实施条例</w:t>
      </w:r>
    </w:p>
    <w:p>
      <w:pPr>
        <w:pStyle w:val="10"/>
        <w:jc w:val="center"/>
        <w:rPr>
          <w:rFonts w:ascii="Times New Roman" w:hAnsi="Times New Roman" w:cs="Times New Roman"/>
          <w:sz w:val="32"/>
          <w:szCs w:val="32"/>
        </w:rPr>
      </w:pPr>
    </w:p>
    <w:p>
      <w:pPr>
        <w:pStyle w:val="10"/>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3"/>
        <w:rPr>
          <w:sz w:val="32"/>
          <w:szCs w:val="32"/>
        </w:rPr>
      </w:pPr>
      <w:r>
        <w:rPr>
          <w:rFonts w:ascii="Times New Roman" w:hAnsi="Times New Roman" w:cs="Times New Roman"/>
          <w:sz w:val="32"/>
          <w:szCs w:val="32"/>
        </w:rP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根据《</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野生动物保护法》(以下简称《野生动物保护法》)的规定，制定本条例。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本条例所称水生野生动物，是指珍贵、濒危的水生野生动物；所称水生野生动物产品，是指珍贵、濒危的水生野生动物的任何部分及其衍生物。</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国务院渔业行政主管部门主管全国水生野生动物管理工作。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县级以上地方人民政府渔业行政主管部门主管本行政区域内水生野生动物管理工作。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《野生动物保护法》和本条例规定的渔业行政主管部门的行政处罚权，可以由其所属的渔政监督管理机构行使。</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县级以上各级人民政府及其有关主管部门应当鼓励、支持有关科研单位、教学单位开展水生野生动物科学研究工作。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渔业行政主管部门及其所属的渔政监督管理机构，有权对《野生动物保护法》和本条例的实施情况进行监督检查，被检查的单位和个人应当给予配合。</w:t>
      </w:r>
    </w:p>
    <w:p>
      <w:pPr>
        <w:pStyle w:val="3"/>
        <w:bidi w:val="0"/>
      </w:pPr>
      <w:r>
        <w:t>第二章　水生野生动物保护</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国务院渔业行政主管部门和省、自治区、直辖市人民政府渔业行政主管部门，应当定期组织水生野生动物资源调查，建立资源档案，为制定水生野生动物资源保护发展规划、制定和调整国家和地方重点保护水生野生动物名录提供依据。</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渔业行政主管部门应当组织社会各方面力量，采取有效措施，维护和改善水生野生动物的生存环境，保护和增殖水生野生动物资源。</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禁止任何单位和个人破坏国家重点保护的和地方重点保护的水生野生动物生息繁衍的水域、场所和生存条件。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任何单位和个人对侵占或者破坏水生野生动物资源的行为，有权向当地渔业行政主管部门或者其所属的渔政监督管理机构检举和控告。</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任何单位和个人发现受伤、搁浅和因误入港湾、河汊而被困的水生野生动物时，应当及时报告当地渔业行政主管部门或者其所属的渔政监督管理机构，由其采取紧急救护措施；也可以要求附近具备救护条件的单位采取紧急救护措施，并报告渔业行政主管部门。已经死亡的水生野生动物，由渔业行政主管部门妥善处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捕捞作业时误捕水生野生动物的，应当立即无条件放生。</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因保护国家重点保护的和地方重点保护的水生野生动物受到损失的，可以向当地人民政府渔业行政主管部门提出补偿要求。经调查属实并确实需要补偿的，由当地人民政府按照省、自治区、直辖市人民政府有关规定给予补偿。</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国务院渔业行政主管部门和省、自治区、直辖市人民政府，应当在国家重点保护的和地方重点保护的水生野生动物的主要生息繁衍的地区和水域，划定水生野生动物自然保护区，加强对国家和地方重点保护水生野生动物及其生存环境的保护管理，具体办法由国务院另行规定。</w:t>
      </w:r>
    </w:p>
    <w:p>
      <w:pPr>
        <w:pStyle w:val="3"/>
        <w:bidi w:val="0"/>
      </w:pPr>
      <w:r>
        <w:t>第三章　水生野生动物管理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禁止捕捉、杀害国家重点保护的水生野生动物。</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有下列情形之一，确需捕捉国家重点保护的水生野生动物的，必须申请特许捕捉证：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(一)为进行水生野生动物科学考察、资源调查，必须捕捉的；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(二)为驯养繁殖国家重点保护的水生野生动物，必须从自然水域或者场所获取种源的；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(三)为承担省级以上科学研究项目或者国家医药生产任务，必须从自然水域或者场所获取国家重点保护的水生野生动物的；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(四)为宣传、普及水生野生动物知识或者教学、展览的需要，必须从自然水域或者场所获取国家重点保护的水生野生动物的；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(五)因其他特殊情况，必须捕捉的。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申请特许捕捉证的程序：</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(一)需要捕捉国家一级保护水生野生动物的，必须附具申请人所在地和捕捉地的省、自治区、直辖市人民政府渔业行政主管部门签署的意见，向国务院渔业行政主管部门申请特许捕捉证；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(二)需要在本省、自治区、直辖市捕捉国家二级保护水生野生动物的，必须附具申请人所在地的县级人民政府渔业行政主管部门签署的意见，向省、自治区、直辖市人民政府渔业行政主管部门申请特许捕捉证；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需要跨省、自治区、直辖市捕捉国家二级保护水生野生动物的，必须附具申请人所在地的省、自治区、直辖市人民政府渔业行政主管部门签署的意见，向捕捉地的省、自治区、直辖市人民政府渔业行政主管部门申请特许捕捉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动物园申请捕捉国家一级保护水生野生动物的，在向国务院渔业行政主管部门申请特许捕捉证前，须经国务院建设行政主管部门审核同意；申请捕捉国家二级保护水生野生动物的，在向申请人所在地的省、自治区、直辖市人民政府渔业行政主管部门申请特许捕捉证前，须经同级人民政府建设行政主管部门审核同意。</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负责核发特许捕捉证的部门接到申请后，应当自接到申请之日起3个月内作出批准或者不批准的决定。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有下列情形之一的，不予发放特许捕捉证：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(一)申请人有条件以合法的非捕捉方式获得国家重点保护的水生野生动物的种源、产品或者达到其目的的；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(二)捕捉申请不符合国家有关规定，或者申请使用的捕捉工具、方法以及捕捉时间、地点不当的；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(三)根据水生野生动物资源现状不宜捕捉的。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取得特许捕捉证的单位和个人，必须按照特许捕捉证规定的种类、数量、地点、期限、工具和方法进行捕捉，防止误伤水生野生动物或者破坏其生存环境。捕捉作业完成后，应当及时向捕捉地的县级人民政府渔业行政主管部门或者其所属的渔政监督管理机构申请查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县级人民政府渔业行政主管部门或者其所属的渔政监督管理机构对在本行政区域内捕捉国家重点保护的水生野生动物的活动，应当进行监督检查，并及时向批准捕捉的部门报告监督检查结果。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外国人在中国境内进行有关水生野生动物科学考察、标本采集、拍摄电影、录像等活动的，必须经国家重点保护的水生野生动物所在地的省、自治区、直辖市人民政府渔业行政主管部门批准。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驯养繁殖国家一级保护水生野生动物的，应当持有国务院渔业行政主管部门核发的驯养繁殖许可证；驯养繁殖国家二级保护水生野生动物的，应当持有省、自治区、直辖市人民政府渔业行政主管部门核发的驯养繁殖许可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动物园驯养繁殖国家重点保护的水生野生动物的，渔业行政主管部门可以委托同级建设行政主管部门核发驯养繁殖许可证。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禁止出售、收购国家重点保护的水生野生动物或者其产品。因科学研究、驯养繁殖、展览等特殊情况，需要出售、收购、利用国家一级保护水生野生动物或者其产品的，必须向省、自治区、直辖市人民政府渔业行政主管部门提出申请，经其签署意见后，报国务院渔业行政主管部门批准；需要出售、收购、利用国家二级保护水生野生动物或者其产品的，必须向省、自治区、直辖市人民政府渔业行政主管部门提出申请，并经其批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县级以上各级人民政府渔业行政主管部门和工商行政管理部门，应当对水生野生动物或者其产品的经营利用建立监督检查制度，加强对经营利用水生野生动物或者其产品的监督管理。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进入集贸市场的水生野生动物或者其产品，由工商行政管理部门进行监督管理，渔业行政主管部门给予协助；在集贸市场以外经营水生野生动物或者其产品，由渔业行政主管部门、工商行政管理部门或者其授权的单位进行监督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运输、携带国家重点保护的水生野生动物或者其产品出县境的，应当凭特许捕捉证或者驯养繁殖许可证，向县级人民政府渔业行政主管部门提出申请，报省、自治区、直辖市人民政府渔业行政主管部门或者其授权的单位批准。动物园之间因繁殖动物，需要运输国家重点保护的水生野生动物的，可以由省、自治区、直辖市人民政府渔业行政主管部门授权同级建设行政主管部门审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交通、铁路、民航和邮政企业对没有合法运输证明的水生野生动物或者其产品，应当及时通知有关主管部门处理，不得承运、收寄。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从国外引进水生野生动物的，应当向省、自治区、直辖市人民政府渔业行政主管部门提出申请，经省级以上人民政府渔业行政主管部门指定的科研机构进行科学论证后，报国务院渔业行政主管部门批准。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出口国家重点保护的水生野生动物或者其产品的，进出口中国参加的国际公约所限制进出口的水生野生动物或者其产品的，必须经进出口单位或者个人所在地的省、自治区、直辖市人民政府渔业行政主管部门审核，报国务院渔业行政主管部门批准；属于贸易性进出口活动的，必须由具有有关商品进出口权的单位承担。</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动物园因交换动物需要进出口前款所称水生野生动物的，在国务院渔业行政主管部门批准前，应当经国务院建设行政主管部门审核同意。</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利用水生野生动物或者其产品举办展览等活动的经济收益，主要用于水生野生动物保护事业。</w:t>
      </w:r>
    </w:p>
    <w:p>
      <w:pPr>
        <w:pStyle w:val="3"/>
        <w:bidi w:val="0"/>
      </w:pPr>
      <w:r>
        <w:t>第四章　奖励和惩罚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有下列事迹之一的单位和个人，由县级以上人民政府或者其渔业行政主管部门给予奖励：</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(一)在水生野生动物资源调查、保护管理、宣传教育、开发利用方面有突出贡献的；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(二)严格执行野生动物保护法规，成绩显著的；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(三)拯救、保护和驯养繁殖水生野生动物取得显著成效的；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(四)发现违反水生野生动物保护法律、法规的行为，及时制止或者检举有功的；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(五)在查处破坏水生野生动物资源案件中作出重要贡献的；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(六)在水生野生动物科学研究中取得重大成果或者在应用推广有关的科研成果中取得显著效益的；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(七)在基层从事水生野生动物保护管理工作5年以上并取得显著成绩的；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(八)在水生野生动物保护管理工作中有其他特殊贡献的。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非法捕杀国家重点保护的水生野生动物的，依照刑法有关规定追究刑事责任；情节显著轻微危害不大的，或者犯罪情节轻微不需要判处刑罚的，由渔业行政主管部门没收捕获物、捕捉工具和违法所得，吊销特许捕捉证，并处以相当于捕获物价值10倍以下的罚款，没有捕获物的处以1万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违反野生动物保护法律、法规，在水生野生动物自然保护区破坏国家重点保护的或者地方重点保护的水生野生动物主要生息繁衍场所，依照《野生动物保护法》第三十四条的规定处以罚款的，罚款幅度为恢复原状所需费用的3倍以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违反野生动物保护法律、法规，出售、收购、运输、携带国家重点保护的或者地方重点保护的水生野生动物或者其产品的，由工商行政管理部门或者其授权的渔业行政主管部门没收实物和违法所得，可以并处相当于实物价值10倍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伪造、倒卖、转让驯养繁殖许可证，依照《野生动物保护法》第三十七条的规定处以罚款的，罚款幅度为5000元以下。伪造、倒卖、转让特许捕捉证或者允许进出口证明书，依照《野生动物保护法》第三十七条的规定处以罚款的，罚款幅度为5万元以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违反野生动物保护法规，未取得驯养繁殖许可证或者超越驯养繁殖许可证规定范围，驯养繁殖国家重点保护的水生野生动物的，由渔业行政主管部门没收违法所得，处3000元以下的罚款，可以并处没收水生野生动物、吊销驯养繁殖许可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外国人未经批准在中国境内对国家重点保护的水生野生动物进行科学考察、标本采集、拍摄电影、录像的，由渔业行政主管部门没收考察、拍摄的资料以及所获标本，可以并处5万元以下的罚款。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有下列行为之一，尚不构成犯罪，应当给予治安管理处罚的，由公安机关依照《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治安管理处罚法》的规定予以处罚：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(一)拒绝、阻碍渔政检查人员依法执行职务的；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(二)偷窃、哄抢或者故意损坏野生动物保护仪器设备或者设施的。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依照野生动物保护法规的规定没收的实物，按照国务院渔业行政主管部门的有关规定处理。</w:t>
      </w:r>
    </w:p>
    <w:p>
      <w:pPr>
        <w:pStyle w:val="3"/>
        <w:bidi w:val="0"/>
      </w:pPr>
      <w:r>
        <w:t>第五章　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本条例由国务院渔业行政主管部门负责解释。</w:t>
      </w:r>
    </w:p>
    <w:p>
      <w:pPr>
        <w:pStyle w:val="10"/>
        <w:ind w:firstLine="640" w:firstLineChars="200"/>
        <w:rPr>
          <w:rFonts w:hint="eastAsia"/>
          <w:lang w:eastAsia="zh-CN"/>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3A54B53"/>
    <w:rsid w:val="03CE15F3"/>
    <w:rsid w:val="04206EC6"/>
    <w:rsid w:val="04401145"/>
    <w:rsid w:val="051529ED"/>
    <w:rsid w:val="058213F7"/>
    <w:rsid w:val="06A0228E"/>
    <w:rsid w:val="06E72AA9"/>
    <w:rsid w:val="07405EF4"/>
    <w:rsid w:val="0788080A"/>
    <w:rsid w:val="07E71367"/>
    <w:rsid w:val="08BC05A4"/>
    <w:rsid w:val="08FF0C17"/>
    <w:rsid w:val="093F4578"/>
    <w:rsid w:val="094845F0"/>
    <w:rsid w:val="094B2F3B"/>
    <w:rsid w:val="0963250F"/>
    <w:rsid w:val="09723D9C"/>
    <w:rsid w:val="097F7BAD"/>
    <w:rsid w:val="09B60066"/>
    <w:rsid w:val="0A6920EC"/>
    <w:rsid w:val="0A8C2526"/>
    <w:rsid w:val="0AE962F4"/>
    <w:rsid w:val="0AEB2A0D"/>
    <w:rsid w:val="0B1D5B42"/>
    <w:rsid w:val="0B3D0578"/>
    <w:rsid w:val="0C255D01"/>
    <w:rsid w:val="0C297D97"/>
    <w:rsid w:val="0CD74830"/>
    <w:rsid w:val="0D3C4224"/>
    <w:rsid w:val="0D610029"/>
    <w:rsid w:val="0D88679D"/>
    <w:rsid w:val="0DA124C6"/>
    <w:rsid w:val="0DFE10B9"/>
    <w:rsid w:val="0FB80839"/>
    <w:rsid w:val="107A4DEE"/>
    <w:rsid w:val="10A47D69"/>
    <w:rsid w:val="10BC7241"/>
    <w:rsid w:val="11366EEC"/>
    <w:rsid w:val="11A80578"/>
    <w:rsid w:val="12146020"/>
    <w:rsid w:val="12C10B30"/>
    <w:rsid w:val="134A1994"/>
    <w:rsid w:val="136642BB"/>
    <w:rsid w:val="142327B5"/>
    <w:rsid w:val="14484CDF"/>
    <w:rsid w:val="155E2CB3"/>
    <w:rsid w:val="157124FD"/>
    <w:rsid w:val="15B17054"/>
    <w:rsid w:val="16173655"/>
    <w:rsid w:val="16CE3C1D"/>
    <w:rsid w:val="16E85B46"/>
    <w:rsid w:val="174517D7"/>
    <w:rsid w:val="18413C16"/>
    <w:rsid w:val="18971E78"/>
    <w:rsid w:val="1957540A"/>
    <w:rsid w:val="198A0A54"/>
    <w:rsid w:val="19B07609"/>
    <w:rsid w:val="19DB6C33"/>
    <w:rsid w:val="1A970B23"/>
    <w:rsid w:val="1ABC528A"/>
    <w:rsid w:val="1BAF2172"/>
    <w:rsid w:val="1BE76283"/>
    <w:rsid w:val="1C9212F7"/>
    <w:rsid w:val="1D3C1240"/>
    <w:rsid w:val="1D721751"/>
    <w:rsid w:val="1DA140F8"/>
    <w:rsid w:val="1DCA1DED"/>
    <w:rsid w:val="1FC77103"/>
    <w:rsid w:val="1FD764D6"/>
    <w:rsid w:val="1FE16FBA"/>
    <w:rsid w:val="2037230C"/>
    <w:rsid w:val="2069138A"/>
    <w:rsid w:val="2096095A"/>
    <w:rsid w:val="20D86240"/>
    <w:rsid w:val="21CE0F2E"/>
    <w:rsid w:val="221D0BEA"/>
    <w:rsid w:val="22D25CC3"/>
    <w:rsid w:val="22DD4281"/>
    <w:rsid w:val="24263C7F"/>
    <w:rsid w:val="253620CC"/>
    <w:rsid w:val="25981EEB"/>
    <w:rsid w:val="25BF3D61"/>
    <w:rsid w:val="25F044FF"/>
    <w:rsid w:val="260B101A"/>
    <w:rsid w:val="26A760E3"/>
    <w:rsid w:val="26C10A61"/>
    <w:rsid w:val="26CA1A3A"/>
    <w:rsid w:val="26DF6D2B"/>
    <w:rsid w:val="26E55574"/>
    <w:rsid w:val="27680A3B"/>
    <w:rsid w:val="27A96F19"/>
    <w:rsid w:val="2834230D"/>
    <w:rsid w:val="287A18EA"/>
    <w:rsid w:val="28F8723D"/>
    <w:rsid w:val="2A887699"/>
    <w:rsid w:val="2A8D0D45"/>
    <w:rsid w:val="2B01664D"/>
    <w:rsid w:val="2C7458A4"/>
    <w:rsid w:val="2CD50485"/>
    <w:rsid w:val="2D644059"/>
    <w:rsid w:val="2DBE0D65"/>
    <w:rsid w:val="2DDE6B1E"/>
    <w:rsid w:val="2E1B43B4"/>
    <w:rsid w:val="2E5D5F12"/>
    <w:rsid w:val="2ED32E01"/>
    <w:rsid w:val="2F1B3068"/>
    <w:rsid w:val="2FB37B4F"/>
    <w:rsid w:val="2FF20DF5"/>
    <w:rsid w:val="309802D5"/>
    <w:rsid w:val="318138A8"/>
    <w:rsid w:val="31F05688"/>
    <w:rsid w:val="320E2B0A"/>
    <w:rsid w:val="32252208"/>
    <w:rsid w:val="3242780E"/>
    <w:rsid w:val="330D4027"/>
    <w:rsid w:val="3330356C"/>
    <w:rsid w:val="33CF5811"/>
    <w:rsid w:val="34031BBE"/>
    <w:rsid w:val="347F2CDC"/>
    <w:rsid w:val="349C60FB"/>
    <w:rsid w:val="35095248"/>
    <w:rsid w:val="355560D1"/>
    <w:rsid w:val="3570564D"/>
    <w:rsid w:val="369308C2"/>
    <w:rsid w:val="38651841"/>
    <w:rsid w:val="386D21AD"/>
    <w:rsid w:val="387E7233"/>
    <w:rsid w:val="39523766"/>
    <w:rsid w:val="39C71577"/>
    <w:rsid w:val="3A7915E5"/>
    <w:rsid w:val="3B1265AF"/>
    <w:rsid w:val="3B596812"/>
    <w:rsid w:val="3BA0652C"/>
    <w:rsid w:val="3C372D12"/>
    <w:rsid w:val="3CA23060"/>
    <w:rsid w:val="3CAF6F9F"/>
    <w:rsid w:val="3CDF39C7"/>
    <w:rsid w:val="3D762392"/>
    <w:rsid w:val="3DFC6899"/>
    <w:rsid w:val="3E3675FB"/>
    <w:rsid w:val="3E4263F0"/>
    <w:rsid w:val="3E90626E"/>
    <w:rsid w:val="3EEC1919"/>
    <w:rsid w:val="3F7A28E8"/>
    <w:rsid w:val="3F800236"/>
    <w:rsid w:val="3F8C783C"/>
    <w:rsid w:val="3FC97A54"/>
    <w:rsid w:val="400B1606"/>
    <w:rsid w:val="40226A0B"/>
    <w:rsid w:val="40C1378F"/>
    <w:rsid w:val="40DC5AC3"/>
    <w:rsid w:val="40E97848"/>
    <w:rsid w:val="40F66CF8"/>
    <w:rsid w:val="40FE47B4"/>
    <w:rsid w:val="413269D4"/>
    <w:rsid w:val="41B857FD"/>
    <w:rsid w:val="429465D8"/>
    <w:rsid w:val="43110E6A"/>
    <w:rsid w:val="431B4937"/>
    <w:rsid w:val="434336CE"/>
    <w:rsid w:val="4361706F"/>
    <w:rsid w:val="438C3ED2"/>
    <w:rsid w:val="43CA1521"/>
    <w:rsid w:val="43D46F84"/>
    <w:rsid w:val="444B0E8A"/>
    <w:rsid w:val="454D6241"/>
    <w:rsid w:val="455C671E"/>
    <w:rsid w:val="45866A2B"/>
    <w:rsid w:val="46D80A88"/>
    <w:rsid w:val="46EE0064"/>
    <w:rsid w:val="47793996"/>
    <w:rsid w:val="47A250A3"/>
    <w:rsid w:val="48AC4D69"/>
    <w:rsid w:val="494B3B16"/>
    <w:rsid w:val="49C224BB"/>
    <w:rsid w:val="4A4F5FBC"/>
    <w:rsid w:val="4A732A37"/>
    <w:rsid w:val="4AD87480"/>
    <w:rsid w:val="4B2E2D61"/>
    <w:rsid w:val="4C062CA1"/>
    <w:rsid w:val="4CF75612"/>
    <w:rsid w:val="4D7C1855"/>
    <w:rsid w:val="4DC87E21"/>
    <w:rsid w:val="4E4E7955"/>
    <w:rsid w:val="4E6A2FDF"/>
    <w:rsid w:val="4EDF3D2B"/>
    <w:rsid w:val="4EED79F5"/>
    <w:rsid w:val="5080370D"/>
    <w:rsid w:val="512A1D93"/>
    <w:rsid w:val="5146198F"/>
    <w:rsid w:val="51F44E31"/>
    <w:rsid w:val="523F45D1"/>
    <w:rsid w:val="524F6E89"/>
    <w:rsid w:val="52695AB4"/>
    <w:rsid w:val="529D4C7B"/>
    <w:rsid w:val="53BF5C69"/>
    <w:rsid w:val="53DA0A43"/>
    <w:rsid w:val="54031803"/>
    <w:rsid w:val="54942BB0"/>
    <w:rsid w:val="554B0B10"/>
    <w:rsid w:val="55B865F8"/>
    <w:rsid w:val="55C0390E"/>
    <w:rsid w:val="55D520AC"/>
    <w:rsid w:val="566F7832"/>
    <w:rsid w:val="56E91124"/>
    <w:rsid w:val="575D4E2E"/>
    <w:rsid w:val="577F6B33"/>
    <w:rsid w:val="57EA0E81"/>
    <w:rsid w:val="58035B31"/>
    <w:rsid w:val="58F6185E"/>
    <w:rsid w:val="591257DC"/>
    <w:rsid w:val="5B353B99"/>
    <w:rsid w:val="5B6D42C1"/>
    <w:rsid w:val="5C223266"/>
    <w:rsid w:val="5D0B40ED"/>
    <w:rsid w:val="5D101449"/>
    <w:rsid w:val="5DB22BFD"/>
    <w:rsid w:val="5DD739B2"/>
    <w:rsid w:val="5E4D7776"/>
    <w:rsid w:val="5E900D37"/>
    <w:rsid w:val="5F1B3082"/>
    <w:rsid w:val="5F5011B7"/>
    <w:rsid w:val="5F88093C"/>
    <w:rsid w:val="5F9A3DC3"/>
    <w:rsid w:val="5FDB251D"/>
    <w:rsid w:val="60492E1B"/>
    <w:rsid w:val="60FB7125"/>
    <w:rsid w:val="61152047"/>
    <w:rsid w:val="620467BA"/>
    <w:rsid w:val="622D2BEC"/>
    <w:rsid w:val="62F60DE0"/>
    <w:rsid w:val="63740607"/>
    <w:rsid w:val="63DD0DD3"/>
    <w:rsid w:val="63DE7402"/>
    <w:rsid w:val="641B1D00"/>
    <w:rsid w:val="641F5EE8"/>
    <w:rsid w:val="642517C4"/>
    <w:rsid w:val="64362769"/>
    <w:rsid w:val="645F656D"/>
    <w:rsid w:val="649C0E8F"/>
    <w:rsid w:val="65152017"/>
    <w:rsid w:val="652E7954"/>
    <w:rsid w:val="65532802"/>
    <w:rsid w:val="65835492"/>
    <w:rsid w:val="65BF6566"/>
    <w:rsid w:val="664D746C"/>
    <w:rsid w:val="665D25F4"/>
    <w:rsid w:val="66E50FB1"/>
    <w:rsid w:val="674048E2"/>
    <w:rsid w:val="67C86FFA"/>
    <w:rsid w:val="67D71794"/>
    <w:rsid w:val="68426F20"/>
    <w:rsid w:val="68715924"/>
    <w:rsid w:val="6A403C00"/>
    <w:rsid w:val="6A49703B"/>
    <w:rsid w:val="6B120859"/>
    <w:rsid w:val="6B4C7D1B"/>
    <w:rsid w:val="6C267EB4"/>
    <w:rsid w:val="6C2D563E"/>
    <w:rsid w:val="6CD653AF"/>
    <w:rsid w:val="6D1363D3"/>
    <w:rsid w:val="6D15429C"/>
    <w:rsid w:val="6D614426"/>
    <w:rsid w:val="6DA577A5"/>
    <w:rsid w:val="6DB8609B"/>
    <w:rsid w:val="6DB87D30"/>
    <w:rsid w:val="6DD1052D"/>
    <w:rsid w:val="6E190E43"/>
    <w:rsid w:val="6E4D194D"/>
    <w:rsid w:val="6E804287"/>
    <w:rsid w:val="6EB30283"/>
    <w:rsid w:val="6F605325"/>
    <w:rsid w:val="6FAA67D8"/>
    <w:rsid w:val="705926FD"/>
    <w:rsid w:val="70817970"/>
    <w:rsid w:val="712B5699"/>
    <w:rsid w:val="71D16FC6"/>
    <w:rsid w:val="72A30A90"/>
    <w:rsid w:val="72AE5309"/>
    <w:rsid w:val="72C042BE"/>
    <w:rsid w:val="73160902"/>
    <w:rsid w:val="735A6A5C"/>
    <w:rsid w:val="739D53B6"/>
    <w:rsid w:val="746D1278"/>
    <w:rsid w:val="75461177"/>
    <w:rsid w:val="762C29D0"/>
    <w:rsid w:val="768C0C3C"/>
    <w:rsid w:val="76975133"/>
    <w:rsid w:val="769B60FD"/>
    <w:rsid w:val="76C10F77"/>
    <w:rsid w:val="77D8678E"/>
    <w:rsid w:val="78061DFD"/>
    <w:rsid w:val="7814798C"/>
    <w:rsid w:val="7819740D"/>
    <w:rsid w:val="789F59B2"/>
    <w:rsid w:val="78E10B53"/>
    <w:rsid w:val="78ED2B64"/>
    <w:rsid w:val="7A224A32"/>
    <w:rsid w:val="7A4B0114"/>
    <w:rsid w:val="7A6D55E9"/>
    <w:rsid w:val="7ABD49CD"/>
    <w:rsid w:val="7BA85469"/>
    <w:rsid w:val="7C0E15E2"/>
    <w:rsid w:val="7C28250F"/>
    <w:rsid w:val="7C38697D"/>
    <w:rsid w:val="7C7520DF"/>
    <w:rsid w:val="7CFB06AD"/>
    <w:rsid w:val="7D0E2676"/>
    <w:rsid w:val="7E600C51"/>
    <w:rsid w:val="7E6C694C"/>
    <w:rsid w:val="7E8622B0"/>
    <w:rsid w:val="7ED17F92"/>
    <w:rsid w:val="7ED21B0C"/>
    <w:rsid w:val="7F623FAD"/>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character" w:styleId="16">
    <w:name w:val="footnote reference"/>
    <w:basedOn w:val="15"/>
    <w:semiHidden/>
    <w:unhideWhenUsed/>
    <w:qFormat/>
    <w:uiPriority w:val="99"/>
    <w:rPr>
      <w:vertAlign w:val="superscript"/>
    </w:rPr>
  </w:style>
  <w:style w:type="table" w:styleId="18">
    <w:name w:val="Table Grid"/>
    <w:basedOn w:val="1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9">
    <w:name w:val="纯文本 Char"/>
    <w:basedOn w:val="15"/>
    <w:link w:val="10"/>
    <w:qFormat/>
    <w:uiPriority w:val="99"/>
    <w:rPr>
      <w:rFonts w:ascii="宋体" w:hAnsi="Courier New" w:eastAsia="宋体" w:cs="Courier New"/>
      <w:szCs w:val="21"/>
    </w:rPr>
  </w:style>
  <w:style w:type="character" w:customStyle="1" w:styleId="20">
    <w:name w:val="页眉 Char"/>
    <w:basedOn w:val="15"/>
    <w:link w:val="12"/>
    <w:semiHidden/>
    <w:qFormat/>
    <w:uiPriority w:val="99"/>
    <w:rPr>
      <w:sz w:val="18"/>
      <w:szCs w:val="18"/>
    </w:rPr>
  </w:style>
  <w:style w:type="character" w:customStyle="1" w:styleId="21">
    <w:name w:val="页脚 Char"/>
    <w:basedOn w:val="15"/>
    <w:link w:val="11"/>
    <w:semiHidden/>
    <w:qFormat/>
    <w:uiPriority w:val="99"/>
    <w:rPr>
      <w:sz w:val="18"/>
      <w:szCs w:val="18"/>
    </w:rPr>
  </w:style>
  <w:style w:type="character" w:customStyle="1" w:styleId="22">
    <w:name w:val="标题 1 Char"/>
    <w:basedOn w:val="15"/>
    <w:link w:val="2"/>
    <w:qFormat/>
    <w:uiPriority w:val="9"/>
    <w:rPr>
      <w:rFonts w:eastAsia="黑体" w:asciiTheme="minorAscii" w:hAnsiTheme="minorAscii"/>
      <w:bCs/>
      <w:kern w:val="44"/>
      <w:sz w:val="32"/>
      <w:szCs w:val="44"/>
    </w:rPr>
  </w:style>
  <w:style w:type="character" w:customStyle="1" w:styleId="23">
    <w:name w:val="标题 2 Char"/>
    <w:basedOn w:val="15"/>
    <w:link w:val="3"/>
    <w:semiHidden/>
    <w:qFormat/>
    <w:uiPriority w:val="9"/>
    <w:rPr>
      <w:rFonts w:eastAsia="方正黑体_GBK" w:asciiTheme="majorAscii" w:hAnsiTheme="majorAscii" w:cstheme="majorBidi"/>
      <w:bCs/>
      <w:sz w:val="32"/>
      <w:szCs w:val="32"/>
    </w:rPr>
  </w:style>
  <w:style w:type="character" w:customStyle="1" w:styleId="24">
    <w:name w:val="标题 3 Char"/>
    <w:basedOn w:val="15"/>
    <w:link w:val="4"/>
    <w:semiHidden/>
    <w:qFormat/>
    <w:uiPriority w:val="9"/>
    <w:rPr>
      <w:rFonts w:eastAsia="方正楷体_GBK" w:asciiTheme="minorAscii" w:hAnsiTheme="minorAscii"/>
      <w:b/>
      <w:bCs/>
      <w:sz w:val="32"/>
      <w:szCs w:val="32"/>
    </w:rPr>
  </w:style>
  <w:style w:type="character" w:customStyle="1" w:styleId="25">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5"/>
    <w:link w:val="6"/>
    <w:semiHidden/>
    <w:qFormat/>
    <w:uiPriority w:val="9"/>
    <w:rPr>
      <w:b/>
      <w:bCs/>
      <w:sz w:val="28"/>
      <w:szCs w:val="28"/>
    </w:rPr>
  </w:style>
  <w:style w:type="character" w:customStyle="1" w:styleId="27">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5"/>
    <w:link w:val="8"/>
    <w:semiHidden/>
    <w:qFormat/>
    <w:uiPriority w:val="9"/>
    <w:rPr>
      <w:b/>
      <w:bCs/>
      <w:sz w:val="24"/>
      <w:szCs w:val="24"/>
    </w:rPr>
  </w:style>
  <w:style w:type="character" w:customStyle="1" w:styleId="29">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16</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2023-06-07T07:30:32Z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