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生物两用品及</w:t>
      </w:r>
    </w:p>
    <w:p>
      <w:pPr>
        <w:pStyle w:val="2"/>
        <w:jc w:val="center"/>
        <w:rPr>
          <w:rFonts w:ascii="Times New Roman" w:hAnsi="Times New Roman" w:cs="Times New Roman"/>
          <w:sz w:val="44"/>
          <w:szCs w:val="44"/>
        </w:rPr>
      </w:pPr>
      <w:r>
        <w:rPr>
          <w:rFonts w:ascii="Times New Roman" w:hAnsi="Times New Roman" w:cs="Times New Roman"/>
          <w:sz w:val="44"/>
          <w:szCs w:val="44"/>
        </w:rPr>
        <w:t>相关设备和技术出口管制条例</w:t>
      </w:r>
    </w:p>
    <w:p>
      <w:pPr>
        <w:pStyle w:val="2"/>
        <w:ind w:firstLine="640" w:firstLineChars="200"/>
        <w:rPr>
          <w:rFonts w:hint="eastAsia" w:ascii="Times New Roman" w:hAnsi="Times New Roman" w:eastAsia="楷体_GB2312" w:cs="Times New Roman"/>
          <w:sz w:val="32"/>
          <w:szCs w:val="32"/>
        </w:rPr>
      </w:pPr>
    </w:p>
    <w:p>
      <w:pPr>
        <w:pStyle w:val="2"/>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为了加强对生物两用品及相关设备和技术出口的管制，维护国家安全和社会公共利益，制定本条例。</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生物两用品及相关设备和技术出口，是指本条例附件《生物两用品及相关设备和技术出口管制清单》(以下简称《管制清单》)所列的生物两用品及相关设备和技术的贸易性出口以及对外交流、交换、赠送、展览、援助、服务和以其他方式进行的技术转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生物两用品及相关设备和技术出口应当遵守国家有关法律、行政法规和本条例规定，不得损害国家安全和社会公共利益。</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国家对生物两用品及相关设备和技术出口实行严格管制，防止《管制清单》所列的生物两用品及相关设备和技术用于生物武器目的。</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国家对《管制清单》所列的生物两用品及相关设备和技术出口实行许可制度。未经许可，任何单位或者个人不得出口《管制清单》所列的生物两用品及相关设备和技术。</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从事生物两用品及相关设备和技术出口的经营者，须经国务院对外经济贸易主管部门(以下简称国务院外经贸主管部门)登记。未经登记，任何单位或者个人不得经营生物两用品及相关设备和技术出口。具体登记办法由国务院外经贸主管部门规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生物两用品及相关设备和技术出口的接受方应当保证：</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(一)所进口的生物两用品及相关设备和技术不用于生物武器目的；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(二)未经中国政府允许，不将中国供应的生物两用品及相关设备和技术用于申明的最终用途以外的其他用途；</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(三)未经中国政府允许，不将中国供应的生物两用品及相关设备和技术向申明的最终用户以外的第三方转让。</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出口《管制清单》所列的生物两用品及相关设备和技术，应当向国务院外经贸主管部门提出申请，填写生物两用品及相关设备和技术出口申请表(以下简称出口申请表)，并提交下列文件：</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(一)申请人的法定代表人、主要经营管理人以及经办人的身份证明；</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(二)合同、协议的副本或者其他证明文件；</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(三)生物两用品及相关设备和技术的技术说明；</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(四)最终用户证明和最终用途证明；</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(五)本条例第七条规定的保证文书；</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(六)国务院外经贸主管部门规定提交的其他文件。</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申请人应当如实填写出口申请表。</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出口申请表由国务院外经贸主管部门统一印制。</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国务院外经贸主管部门应当自收到出口申请表和本条例第八条规定的文件之日起进行审查，或者会同有关部门进行审查。</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管制清单》第一部分所列的生物两用品及相关设备和技术的出口申请，国务院外经贸主管部门应当在15个工作日内作出许可或者不予许可的决定；对《管制清单》第二部分所列的生物两用品及相关设备和技术的出口申请，国务院外经贸主管部门应当在45个工作日内作出许可或者不予许可的决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对国家安全、社会公共利益有重大影响的生物两用品及相关设备和技术出口，国务院外经贸主管部门应当会同有关部门报国务院批准。</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生物两用品及相关设备和技术出口报国务院批准的，不受本条例第十条规定时限的限制。</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生物两用品及相关设备和技术出口申请经审查许可的，由国务院外经贸主管部门向申请人颁发生物两用品及相关设备和技术出口许可证件(以下简称出口许可证件)，并书面通知海关。</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出口许可证件持有人改变原申请的生物两用品及相关设备和技术出口的，应当交回原出口许可证件，并依照本条例的有关规定，重新申请出口许可。</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生物两用品及相关设备和技术出口时，出口单位或者个人应当向海关出具出口许可证件，依照海关法的规定办理海关手续，并接受海关监管。</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接受方违反其依照本条例第七条规定作出的保证，或者出现《管制清单》所列的可用于生物武器目的的生物两用品及相关设备和技术扩散的危险时，国务院外经贸主管部门应当对已经颁发的出口许可证件予以中止或者撤销，并书面通知海关。</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任何单位或者个人知道或者应当知道所出口的生物两用品及相关设备和技术将被接受方直接用于生物武器目的的，无论该生物两用品及相关设备和技术是否列入《管制清单》，都不应当出口。</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经国务院批准，国务院外经贸主管部门会同有关部门，可以临时决定对《管制清单》以外的特定生物两用品及相关设备和技术的出口依照本条例实施管制。</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未经许可擅自出口生物两用品及相关设备和技术的，或者擅自超出许可的范围出口生物两用品及相关设备和技术的，依照刑法关于走私罪、非法经营罪、泄露国家秘密罪或者其他罪的规定，依法追究刑事责任；尚不够刑事处罚的，区别不同情况，依照海关法的有关规定处罚，或者由国务院外经贸主管部门给予警告，没收违法所得，处5万元以上25万元以下的罚款；国务院外经贸主管部门并可以暂停直至撤销其对外贸易经营许可。</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伪造、变造或者买卖生物两用品及相关设备和技术出口许可证件的，依照刑法关于非法经营罪或者伪造、变造、买卖国家机关公文、证件、印章罪的规定，依法追究刑事责任；尚不够刑事处罚的，依照海关法的有关规定处罚；国务院外经贸主管部门并可以撤销其对外贸易经营许可。</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以欺骗或者其他不正当手段获取生物两用品及相关设备和技术出口许可证件的，由国务院外经贸主管部门收缴其出口许可证件，没收违法所得，处2万元以上10万元以下的罚款，暂停直至撤销其对外贸易经营许可。</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违反本条例第六条规定，未经登记擅自经营生物两用品及相关设备和技术出口的，由国务院外经贸主管部门依法取缔其非法活动，并由国家有关主管部门依照有关法律和行政法规的规定给予处罚。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对生物两用品及相关设备和技术出口实施管制的国家工作人员滥用职权、玩忽职守或者利用职务上的便利索取、收受他人财物的，依照刑法关于滥用职权罪、玩忽职守罪、受贿罪或者其他罪的规定，依法追究刑事责任；尚不够刑事处罚的，依法给予行政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国务院外经贸主管部门会同有关部门，可以根据实际情况对《管制清单》进行调整，报国务院批准后执行。</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《管制清单》所列生物两用品及相关设备和技术进口后再出口的，适用本条例的规定。</w:t>
      </w:r>
    </w:p>
    <w:p>
      <w:pPr>
        <w:ind w:firstLine="640" w:firstLineChars="200"/>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613618D"/>
    <w:rsid w:val="00187E38"/>
    <w:rsid w:val="002A6015"/>
    <w:rsid w:val="00B377C0"/>
    <w:rsid w:val="1613618D"/>
    <w:rsid w:val="1FB50F2F"/>
    <w:rsid w:val="270131A6"/>
    <w:rsid w:val="344D3828"/>
    <w:rsid w:val="563E0FF1"/>
    <w:rsid w:val="743D5008"/>
    <w:rsid w:val="79193D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381</Words>
  <Characters>2175</Characters>
  <Lines>18</Lines>
  <Paragraphs>5</Paragraphs>
  <TotalTime>0</TotalTime>
  <ScaleCrop>false</ScaleCrop>
  <LinksUpToDate>false</LinksUpToDate>
  <CharactersWithSpaces>2551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2019-05-22T15:52:00Z</dcterms:created>
  <dc:creator>Administrator</dc:creator>
  <cp:lastModifiedBy>Administrator</cp:lastModifiedBy>
  <dcterms:modified xsi:type="dcterms:W3CDTF">2023-06-07T07:27:58Z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