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jc w:val="center"/>
        <w:rPr>
          <w:rFonts w:ascii="Times New Roman" w:hAnsi="Times New Roman" w:cs="Times New Roman"/>
          <w:sz w:val="32"/>
          <w:szCs w:val="32"/>
        </w:rPr>
      </w:pPr>
    </w:p>
    <w:p>
      <w:pPr>
        <w:pStyle w:val="10"/>
        <w:jc w:val="center"/>
        <w:rPr>
          <w:rFonts w:ascii="Times New Roman" w:hAnsi="Times New Roman" w:cs="Times New Roman"/>
          <w:sz w:val="44"/>
          <w:szCs w:val="44"/>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看守所条例</w:t>
      </w:r>
    </w:p>
    <w:p>
      <w:pPr>
        <w:pStyle w:val="10"/>
        <w:ind w:firstLine="640" w:firstLineChars="200"/>
        <w:jc w:val="center"/>
        <w:rPr>
          <w:rFonts w:ascii="Times New Roman" w:hAnsi="Times New Roman" w:cs="Times New Roman"/>
          <w:sz w:val="32"/>
          <w:szCs w:val="32"/>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3"/>
        <w:bidi w:val="0"/>
      </w:pPr>
      <w: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为保障刑事诉讼活动的顺利进行，依据《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刑事诉讼法》及其他有关法律的规定，制定本条例。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看守所是羁押依法被逮捕、刑事拘留的人犯的机关。</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被判处有期徒刑</w:t>
      </w:r>
      <w:r>
        <w:rPr>
          <w:rFonts w:hint="eastAsia" w:ascii="Times New Roman" w:hAnsi="Times New Roman" w:eastAsia="仿宋_GB2312" w:cs="Times New Roman"/>
          <w:sz w:val="32"/>
          <w:szCs w:val="32"/>
          <w:lang w:val="en-US" w:eastAsia="zh-CN"/>
        </w:rPr>
        <w:t>一</w:t>
      </w:r>
      <w:r>
        <w:rPr>
          <w:rFonts w:ascii="Times New Roman" w:hAnsi="Times New Roman" w:eastAsia="仿宋_GB2312" w:cs="Times New Roman"/>
          <w:sz w:val="32"/>
          <w:szCs w:val="32"/>
        </w:rPr>
        <w:t>年以下，或者余刑在</w:t>
      </w:r>
      <w:r>
        <w:rPr>
          <w:rFonts w:hint="eastAsia" w:ascii="Times New Roman" w:hAnsi="Times New Roman" w:eastAsia="仿宋_GB2312" w:cs="Times New Roman"/>
          <w:sz w:val="32"/>
          <w:szCs w:val="32"/>
          <w:lang w:eastAsia="zh-CN"/>
        </w:rPr>
        <w:t>一</w:t>
      </w:r>
      <w:r>
        <w:rPr>
          <w:rFonts w:ascii="Times New Roman" w:hAnsi="Times New Roman" w:eastAsia="仿宋_GB2312" w:cs="Times New Roman"/>
          <w:sz w:val="32"/>
          <w:szCs w:val="32"/>
        </w:rPr>
        <w:t>年以下，不便送往劳动改造场所执行的罪犯，也可以由看守所监管。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看守所的任务是依据国家法律对被羁押的人犯实行武装警戒看守，保障安全；对人犯进行教育；管理人犯的生活和卫生；保障侦查、起诉和审判工作的顺利进行。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看守所监管人犯，必须坚持严密警戒看管与教育相结合的方针，坚持依法管理、严格管理、科学管理和文明管理，保障人犯的合法权益。严禁打骂、体罚、虐待人犯。</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看守所以县级以上的行政区域为单位设置，由本级公安机关管辖。</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省、自治区、直辖市国家安全厅(局)根据需要，可以设置看守所。</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铁道、交通、林业、民航等系统相当于县级以上的公安机关，可以设置看守所。</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看守所设所长</w:t>
      </w:r>
      <w:r>
        <w:rPr>
          <w:rFonts w:hint="eastAsia" w:ascii="Times New Roman" w:hAnsi="Times New Roman" w:eastAsia="仿宋_GB2312" w:cs="Times New Roman"/>
          <w:sz w:val="32"/>
          <w:szCs w:val="32"/>
          <w:lang w:eastAsia="zh-CN"/>
        </w:rPr>
        <w:t>一</w:t>
      </w:r>
      <w:r>
        <w:rPr>
          <w:rFonts w:ascii="Times New Roman" w:hAnsi="Times New Roman" w:eastAsia="仿宋_GB2312" w:cs="Times New Roman"/>
          <w:sz w:val="32"/>
          <w:szCs w:val="32"/>
        </w:rPr>
        <w:t>人，副所长</w:t>
      </w:r>
      <w:r>
        <w:rPr>
          <w:rFonts w:hint="eastAsia" w:ascii="Times New Roman" w:hAnsi="Times New Roman" w:eastAsia="仿宋_GB2312" w:cs="Times New Roman"/>
          <w:sz w:val="32"/>
          <w:szCs w:val="32"/>
          <w:lang w:eastAsia="zh-CN"/>
        </w:rPr>
        <w:t>一</w:t>
      </w:r>
      <w:r>
        <w:rPr>
          <w:rFonts w:ascii="Times New Roman" w:hAnsi="Times New Roman" w:eastAsia="仿宋_GB2312" w:cs="Times New Roman"/>
          <w:sz w:val="32"/>
          <w:szCs w:val="32"/>
        </w:rPr>
        <w:t>至</w:t>
      </w:r>
      <w:r>
        <w:rPr>
          <w:rFonts w:hint="eastAsia" w:ascii="Times New Roman" w:hAnsi="Times New Roman" w:eastAsia="仿宋_GB2312" w:cs="Times New Roman"/>
          <w:sz w:val="32"/>
          <w:szCs w:val="32"/>
          <w:lang w:eastAsia="zh-CN"/>
        </w:rPr>
        <w:t>二</w:t>
      </w:r>
      <w:r>
        <w:rPr>
          <w:rFonts w:ascii="Times New Roman" w:hAnsi="Times New Roman" w:eastAsia="仿宋_GB2312" w:cs="Times New Roman"/>
          <w:sz w:val="32"/>
          <w:szCs w:val="32"/>
        </w:rPr>
        <w:t>人；根据工作需要，配备看守、管教、医务、财会、炊事等工作人员若干人。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看守所应当配备女工作人员管理女性人犯。</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看守所对人犯的武装警戒和押解由中国</w:t>
      </w:r>
      <w:r>
        <w:rPr>
          <w:rFonts w:hint="eastAsia" w:ascii="Times New Roman" w:hAnsi="Times New Roman" w:eastAsia="仿宋_GB2312" w:cs="Times New Roman"/>
          <w:sz w:val="32"/>
          <w:szCs w:val="32"/>
          <w:lang w:eastAsia="zh-CN"/>
        </w:rPr>
        <w:t>和平武装警察</w:t>
      </w:r>
      <w:r>
        <w:rPr>
          <w:rFonts w:ascii="Times New Roman" w:hAnsi="Times New Roman" w:eastAsia="仿宋_GB2312" w:cs="Times New Roman"/>
          <w:sz w:val="32"/>
          <w:szCs w:val="32"/>
        </w:rPr>
        <w:t>部队(以下简称武警)担任。看守所对执行任务的武警实行业务指导。</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看守所的监管活动受人民检察院的法律监督。</w:t>
      </w:r>
    </w:p>
    <w:p>
      <w:pPr>
        <w:pStyle w:val="3"/>
        <w:bidi w:val="0"/>
      </w:pPr>
      <w:r>
        <w:t>第二章　收押</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看守所收押人犯，须凭送押机关持有的县级以上公安机关、国家安全机关签发的逮捕证、刑事拘留证或者县级以上公安机关、国家安全机关、监狱、劳动改造机关，人民法院、人民检察院追捕、押解人犯临时寄押的证明文书。没有上述凭证，或者凭证的记载与实际情况不符的，不予收押。</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看守所收押人犯，应当进行健康检查，有下列情形之一的，不予收押：</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(一)患有精神病或者急性传染病的；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(二)患有其他严重疾病，在羁押中可能发生生命危险或者生活不能自理的，但是罪大恶极不羁押对社会有危险性的除外；</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(三)怀孕或者哺乳自己不满</w:t>
      </w:r>
      <w:r>
        <w:rPr>
          <w:rFonts w:hint="eastAsia" w:ascii="Times New Roman" w:hAnsi="Times New Roman" w:eastAsia="仿宋_GB2312" w:cs="Times New Roman"/>
          <w:sz w:val="32"/>
          <w:szCs w:val="32"/>
          <w:lang w:eastAsia="zh-CN"/>
        </w:rPr>
        <w:t>一</w:t>
      </w:r>
      <w:r>
        <w:rPr>
          <w:rFonts w:ascii="Times New Roman" w:hAnsi="Times New Roman" w:eastAsia="仿宋_GB2312" w:cs="Times New Roman"/>
          <w:sz w:val="32"/>
          <w:szCs w:val="32"/>
        </w:rPr>
        <w:t>周岁的婴儿的妇女。</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看守所收押人犯，应当对其人身和携带的物品进行严格检查。非日常用品应当登记，代为保管，出所时核对发还或者转监狱、劳动改造机关。违禁物品予以没收。发现犯罪证据和可疑物品，要当场制作记录，由人犯签字捺指印后，送案件主管机关处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对女性人犯的人身检查，由女工作人员进行。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收押人犯，应当建立人犯档案。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收押人犯，应当告知人犯在羁押期间必须遵守的监规和享有的合法权益。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对男性人犯和女性人犯，成年人犯和未成年人犯，同案犯以及其他需要分别羁押的人犯，应当分别羁押。</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公安机关或者国家安全机关侦查终结、人民检察院决定受理的人犯，人民检察院审查或者侦查终结、人民法院决定受理的人犯，递次移送交接，均应办理换押手续，书面通知看守所。</w:t>
      </w:r>
    </w:p>
    <w:p>
      <w:pPr>
        <w:pStyle w:val="3"/>
        <w:bidi w:val="0"/>
      </w:pPr>
      <w:r>
        <w:t>第三章　警戒、看守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看守所实行</w:t>
      </w:r>
      <w:r>
        <w:rPr>
          <w:rFonts w:hint="eastAsia" w:ascii="Times New Roman" w:hAnsi="Times New Roman" w:eastAsia="仿宋_GB2312" w:cs="Times New Roman"/>
          <w:sz w:val="32"/>
          <w:szCs w:val="32"/>
          <w:lang w:eastAsia="zh-CN"/>
        </w:rPr>
        <w:t>二十四</w:t>
      </w:r>
      <w:r>
        <w:rPr>
          <w:rFonts w:ascii="Times New Roman" w:hAnsi="Times New Roman" w:eastAsia="仿宋_GB2312" w:cs="Times New Roman"/>
          <w:sz w:val="32"/>
          <w:szCs w:val="32"/>
        </w:rPr>
        <w:t>小时值班制度。值班人员应当坚守岗位，随时巡视监房。</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对已被判处死刑、尚未执行的犯人，必须加戴械具。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对有事实表明可能行凶、暴动、脱逃、自杀的人犯，经看守所所长批准，可以使用械具。在紧急情况下，可以先行使用，然后报告看守所所长。上述情形消除后，应当予以解除。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看守人员和武警遇有下列情形之一，采取其他措施不能制止时，可以按照有关规定开枪射击：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 人犯越狱或者暴动的；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 人犯脱逃不听制止，或者在追捕中抗拒逮捕的；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 劫持人犯的；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 人犯持有管制刀具或者其他危险物，正在行凶或者破坏的；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 人犯暴力威胁看守人员、武警的生命安全的。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需要开枪射击时，除遇到特别紧迫的情况外，应当先鸣枪警告，人犯有畏服表示，应当立即停止射击。开枪射击后，应当保护现场，并立即报告主管公安机关和人民检察院。</w:t>
      </w:r>
    </w:p>
    <w:p>
      <w:pPr>
        <w:pStyle w:val="3"/>
        <w:bidi w:val="0"/>
      </w:pPr>
      <w:r>
        <w:t>第四章　提讯、押解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公安机关、国家安全机关、人民检察院、人民法院提讯人犯时，必须持有提讯证或者提票。提讯人员不得少于</w:t>
      </w:r>
      <w:r>
        <w:rPr>
          <w:rFonts w:hint="eastAsia" w:ascii="Times New Roman" w:hAnsi="Times New Roman" w:eastAsia="仿宋_GB2312" w:cs="Times New Roman"/>
          <w:sz w:val="32"/>
          <w:szCs w:val="32"/>
          <w:lang w:eastAsia="zh-CN"/>
        </w:rPr>
        <w:t>二</w:t>
      </w:r>
      <w:r>
        <w:rPr>
          <w:rFonts w:ascii="Times New Roman" w:hAnsi="Times New Roman" w:eastAsia="仿宋_GB2312" w:cs="Times New Roman"/>
          <w:sz w:val="32"/>
          <w:szCs w:val="32"/>
        </w:rPr>
        <w:t>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不符合前款规定的，看守所应当拒绝提讯。</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提讯人员讯问人犯完毕，应当立即将人犯交给值班看守人员收押，并收回提讯证或者提票。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押解人员在押解人犯途中，必须严密看管，防止发生意外。对被押解的人犯，可以使用械具。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押解女性人犯，应当有女工作人员负责途中的生活管理。</w:t>
      </w:r>
    </w:p>
    <w:p>
      <w:pPr>
        <w:pStyle w:val="3"/>
        <w:bidi w:val="0"/>
      </w:pPr>
      <w:r>
        <w:t>第五章　生活、卫生</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监室应当通风、采光，能够防潮、防暑、防寒。看守所对监房应当经常检查，及时维修，防止火灾和其他自然灾害。</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被羁押人犯的居住面积，应当不影响其日常生活。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人犯在羁押期间的伙食按规定标准供应，禁止克扣、挪用。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对少数民族人犯和外国籍人犯，应当考虑到他们的民族风俗习惯，在生活上予以适当照顾。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人犯应当自备衣服、被褥。确实不能自备的，由看守所提供。</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人犯每日应当有必要的睡眠时间和一至两小时的室外活动。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看守所应当建立人犯的防疫和清洁卫生制度。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看守所应当配备必要的医疗器械和常用药品。人犯患病，应当给予及时治疗；需要到医院治疗的，当地医院应当负责治疗；病情严重的可以依法取保候审。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人犯在羁押期间死亡的，应当立即报告人民检察院和办案机关，由法医或者医生作出死亡原因的鉴定，并通知死者家属。</w:t>
      </w:r>
    </w:p>
    <w:p>
      <w:pPr>
        <w:pStyle w:val="3"/>
        <w:bidi w:val="0"/>
      </w:pPr>
      <w:r>
        <w:t>第六章　会见、通信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人犯在羁押期间，经办案机关同意，并经公安机关批准，可以与近亲属通信、会见。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人犯的近亲属病重或者死亡时，应当及时通知人犯。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人犯的配偶、父母或者子女病危时，除案情重大的以外，经办案机关同意，并经公安机关批准，在严格监护的条件下，允许人犯回家探视。</w:t>
      </w:r>
    </w:p>
    <w:p>
      <w:pPr>
        <w:pStyle w:val="10"/>
        <w:ind w:firstLine="640" w:firstLineChars="200"/>
        <w:rPr>
          <w:rFonts w:ascii="Times New Roman" w:hAnsi="Times New Roman" w:cs="Times New Roman"/>
          <w:sz w:val="32"/>
          <w:szCs w:val="32"/>
        </w:rPr>
      </w:pPr>
      <w:r>
        <w:rPr>
          <w:rFonts w:ascii="Times New Roman" w:hAnsi="Times New Roman" w:eastAsia="黑体" w:cs="Times New Roman"/>
          <w:sz w:val="32"/>
          <w:szCs w:val="32"/>
        </w:rPr>
        <w:t>第三十条</w:t>
      </w:r>
      <w:r>
        <w:rPr>
          <w:rFonts w:ascii="Times New Roman" w:hAnsi="Times New Roman" w:cs="Times New Roman"/>
          <w:sz w:val="32"/>
          <w:szCs w:val="32"/>
        </w:rPr>
        <w:t>　</w:t>
      </w:r>
      <w:r>
        <w:rPr>
          <w:rFonts w:hint="eastAsia" w:ascii="仿宋_GB2312" w:hAnsi="仿宋_GB2312" w:eastAsia="仿宋_GB2312" w:cs="仿宋_GB2312"/>
          <w:sz w:val="32"/>
          <w:szCs w:val="32"/>
        </w:rPr>
        <w:t>人犯近亲属给人犯的物品，须经看守人员检查。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看守所接受办案机关的委托，对人犯发收的信件可以进行检查。如果发现有碍侦查、起诉、审判的，可以扣留，并移送办案机关处理。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人民检察院已经决定提起公诉的案件，被羁押的人犯在接到起诉书副本后，可以与本人委托的辩护人或者由人民法院指定的辩护人会见、通信。</w:t>
      </w:r>
    </w:p>
    <w:p>
      <w:pPr>
        <w:pStyle w:val="3"/>
        <w:bidi w:val="0"/>
      </w:pPr>
      <w:r>
        <w:t>第七章　教育、奖惩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看守所应当对人犯进行法制、道德以及必要的形势和劳动教育。</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在保证安全和不影响刑事诉讼活动的前提下，看守所可以组织人犯进行适当的劳动。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人犯的劳动收入和支出，要建立</w:t>
      </w:r>
      <w:r>
        <w:rPr>
          <w:rFonts w:hint="eastAsia" w:ascii="Times New Roman" w:hAnsi="Times New Roman" w:eastAsia="仿宋_GB2312" w:cs="Times New Roman"/>
          <w:sz w:val="32"/>
          <w:szCs w:val="32"/>
          <w:lang w:eastAsia="zh-CN"/>
        </w:rPr>
        <w:t>帐</w:t>
      </w:r>
      <w:r>
        <w:rPr>
          <w:rFonts w:ascii="Times New Roman" w:hAnsi="Times New Roman" w:eastAsia="仿宋_GB2312" w:cs="Times New Roman"/>
          <w:sz w:val="32"/>
          <w:szCs w:val="32"/>
        </w:rPr>
        <w:t>目，严格手续。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人犯在被羁押期间，遵守监规，表现良好的，应当予以表扬和鼓励；有立功表现的，应当报请办案机关依法从宽处理。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看守所对于违反监规的人犯，可予以警告或者训诫；情节严重，经教育不改的，可以责令具结悔过或者经看守所所长批准予以禁闭。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人犯在羁押期间有犯罪行为的，看守所应当及时将情况通知办案机关依法处理。</w:t>
      </w:r>
    </w:p>
    <w:p>
      <w:pPr>
        <w:pStyle w:val="3"/>
        <w:bidi w:val="0"/>
      </w:pPr>
      <w:r>
        <w:t>第八章　出所</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对于被判处死刑缓期</w:t>
      </w:r>
      <w:r>
        <w:rPr>
          <w:rFonts w:hint="eastAsia" w:ascii="Times New Roman" w:hAnsi="Times New Roman" w:eastAsia="仿宋_GB2312" w:cs="Times New Roman"/>
          <w:sz w:val="32"/>
          <w:szCs w:val="32"/>
          <w:lang w:eastAsia="zh-CN"/>
        </w:rPr>
        <w:t>二</w:t>
      </w:r>
      <w:r>
        <w:rPr>
          <w:rFonts w:ascii="Times New Roman" w:hAnsi="Times New Roman" w:eastAsia="仿宋_GB2312" w:cs="Times New Roman"/>
          <w:sz w:val="32"/>
          <w:szCs w:val="32"/>
        </w:rPr>
        <w:t>年执行、无期徒刑、有期徒刑、拘役或者管制的罪犯，看守所根据人民法院的执行通知书、判决书办理出所手续。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对于被依法释放的人，看守所根据人民法院、人民检察院、公安机关或者国家安全机关的释放通知文书，办理释放手续。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释放被羁押人，发给释放证明书。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对于被决定劳动教养的人和转送外地羁押的人犯，看守所根据有关主管机关的证明文件，办理出所手续。</w:t>
      </w:r>
    </w:p>
    <w:p>
      <w:pPr>
        <w:pStyle w:val="3"/>
        <w:bidi w:val="0"/>
      </w:pPr>
      <w:r>
        <w:t>第九章　检察监督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看守所应当教育工作人员严格执法，严守纪律，向人民检察院报告监管活动情况。</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看守所对人民检察院提出的违法情况的纠正意见，应当认真研究，及时处理，并将处理结果告知人民检察院。</w:t>
      </w:r>
    </w:p>
    <w:p>
      <w:pPr>
        <w:pStyle w:val="3"/>
        <w:bidi w:val="0"/>
      </w:pPr>
      <w:r>
        <w:t>第十章　其他规定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看守所对人犯的法定羁押期限即将到期而案件又尚未审理终结的，应当及时通知办案机关迅速审结；超过法定羁押期限的，应当将情况报告人民检察院。</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w:t>
      </w:r>
      <w:r>
        <w:rPr>
          <w:rFonts w:ascii="Times New Roman" w:hAnsi="Times New Roman" w:eastAsia="仿宋_GB2312" w:cs="Times New Roman"/>
          <w:sz w:val="32"/>
          <w:szCs w:val="32"/>
        </w:rPr>
        <w:t>　对于人民检察院或者人民法院没有决定停止行使选举权利的被羁押人犯，准予参加县级以下人民代表大会代表的选举。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w:t>
      </w:r>
      <w:r>
        <w:rPr>
          <w:rFonts w:ascii="Times New Roman" w:hAnsi="Times New Roman" w:eastAsia="仿宋_GB2312" w:cs="Times New Roman"/>
          <w:sz w:val="32"/>
          <w:szCs w:val="32"/>
        </w:rPr>
        <w:t>　看守所在人犯羁押期间发现人犯中有错拘、错捕或者错判的，应当及时通知办案机关查证核实，依法处理。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w:t>
      </w:r>
      <w:r>
        <w:rPr>
          <w:rFonts w:ascii="Times New Roman" w:hAnsi="Times New Roman" w:eastAsia="仿宋_GB2312" w:cs="Times New Roman"/>
          <w:sz w:val="32"/>
          <w:szCs w:val="32"/>
        </w:rPr>
        <w:t>　对人犯的上诉书、申诉书，看守所应当及时转送，不得阻挠和扣押。</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人犯揭发、控告司法工作人员违法行为的材料，应当及时报请人民检察院处理。</w:t>
      </w:r>
    </w:p>
    <w:p>
      <w:pPr>
        <w:pStyle w:val="3"/>
        <w:bidi w:val="0"/>
      </w:pPr>
      <w:r>
        <w:t>第十一章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w:t>
      </w:r>
      <w:r>
        <w:rPr>
          <w:rFonts w:ascii="Times New Roman" w:hAnsi="Times New Roman" w:eastAsia="仿宋_GB2312" w:cs="Times New Roman"/>
          <w:sz w:val="32"/>
          <w:szCs w:val="32"/>
        </w:rPr>
        <w:t>　看守所监管已决犯，执行有关对已决犯管理的法律规定。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w:t>
      </w:r>
      <w:r>
        <w:rPr>
          <w:rFonts w:ascii="Times New Roman" w:hAnsi="Times New Roman" w:eastAsia="仿宋_GB2312" w:cs="Times New Roman"/>
          <w:sz w:val="32"/>
          <w:szCs w:val="32"/>
        </w:rPr>
        <w:t>　看守所所需修缮费和人犯给养费应当编报预算，按隶属关系由各级财政专项拨付。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看守所的经费开支，单立</w:t>
      </w:r>
      <w:r>
        <w:rPr>
          <w:rFonts w:hint="eastAsia" w:ascii="Times New Roman" w:hAnsi="Times New Roman" w:eastAsia="仿宋_GB2312" w:cs="Times New Roman"/>
          <w:sz w:val="32"/>
          <w:szCs w:val="32"/>
          <w:lang w:eastAsia="zh-CN"/>
        </w:rPr>
        <w:t>帐</w:t>
      </w:r>
      <w:r>
        <w:rPr>
          <w:rFonts w:ascii="Times New Roman" w:hAnsi="Times New Roman" w:eastAsia="仿宋_GB2312" w:cs="Times New Roman"/>
          <w:sz w:val="32"/>
          <w:szCs w:val="32"/>
        </w:rPr>
        <w:t>户，专款专用。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新建和迁建的看守所应当纳入城市建设规划，列入基本建设项目。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w:t>
      </w:r>
      <w:r>
        <w:rPr>
          <w:rFonts w:ascii="Times New Roman" w:hAnsi="Times New Roman" w:eastAsia="仿宋_GB2312" w:cs="Times New Roman"/>
          <w:sz w:val="32"/>
          <w:szCs w:val="32"/>
        </w:rPr>
        <w:t>　本条例所称</w:t>
      </w:r>
      <w:r>
        <w:rPr>
          <w:rFonts w:hAnsi="宋体" w:cs="Times New Roman"/>
          <w:sz w:val="32"/>
          <w:szCs w:val="32"/>
        </w:rPr>
        <w:t>“</w:t>
      </w:r>
      <w:r>
        <w:rPr>
          <w:rFonts w:ascii="Times New Roman" w:hAnsi="Times New Roman" w:eastAsia="仿宋_GB2312" w:cs="Times New Roman"/>
          <w:sz w:val="32"/>
          <w:szCs w:val="32"/>
        </w:rPr>
        <w:t>以上</w:t>
      </w:r>
      <w:r>
        <w:rPr>
          <w:rFonts w:hAnsi="宋体" w:cs="Times New Roman"/>
          <w:sz w:val="32"/>
          <w:szCs w:val="32"/>
        </w:rPr>
        <w:t>”</w:t>
      </w:r>
      <w:r>
        <w:rPr>
          <w:rFonts w:ascii="Times New Roman" w:hAnsi="Times New Roman" w:eastAsia="仿宋_GB2312" w:cs="Times New Roman"/>
          <w:sz w:val="32"/>
          <w:szCs w:val="32"/>
        </w:rPr>
        <w:t>、</w:t>
      </w:r>
      <w:r>
        <w:rPr>
          <w:rFonts w:hAnsi="宋体" w:cs="Times New Roman"/>
          <w:sz w:val="32"/>
          <w:szCs w:val="32"/>
        </w:rPr>
        <w:t>“</w:t>
      </w:r>
      <w:r>
        <w:rPr>
          <w:rFonts w:ascii="Times New Roman" w:hAnsi="Times New Roman" w:eastAsia="仿宋_GB2312" w:cs="Times New Roman"/>
          <w:sz w:val="32"/>
          <w:szCs w:val="32"/>
        </w:rPr>
        <w:t>以下</w:t>
      </w:r>
      <w:r>
        <w:rPr>
          <w:rFonts w:hAnsi="宋体" w:cs="Times New Roman"/>
          <w:sz w:val="32"/>
          <w:szCs w:val="32"/>
        </w:rPr>
        <w:t>”</w:t>
      </w:r>
      <w:r>
        <w:rPr>
          <w:rFonts w:ascii="Times New Roman" w:hAnsi="Times New Roman" w:eastAsia="仿宋_GB2312" w:cs="Times New Roman"/>
          <w:sz w:val="32"/>
          <w:szCs w:val="32"/>
        </w:rPr>
        <w:t>，均包括本数、本级在内。</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w:t>
      </w:r>
      <w:r>
        <w:rPr>
          <w:rFonts w:ascii="Times New Roman" w:hAnsi="Times New Roman" w:eastAsia="仿宋_GB2312" w:cs="Times New Roman"/>
          <w:sz w:val="32"/>
          <w:szCs w:val="32"/>
        </w:rPr>
        <w:t>　本条例由公安部负责解释，实施办法由公安部制定。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w:t>
      </w:r>
      <w:r>
        <w:rPr>
          <w:rFonts w:ascii="Times New Roman" w:hAnsi="Times New Roman" w:eastAsia="仿宋_GB2312" w:cs="Times New Roman"/>
          <w:sz w:val="32"/>
          <w:szCs w:val="32"/>
        </w:rPr>
        <w:t>　中国</w:t>
      </w:r>
      <w:bookmarkStart w:id="0" w:name="_GoBack"/>
      <w:bookmarkEnd w:id="0"/>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根据军队看守所的具体情况，可以另行制定实施办法。</w:t>
      </w:r>
    </w:p>
    <w:p>
      <w:pPr>
        <w:pStyle w:val="10"/>
        <w:ind w:firstLine="640" w:firstLineChars="200"/>
        <w:rPr>
          <w:rFonts w:hint="eastAsia"/>
          <w:lang w:eastAsia="zh-CN"/>
        </w:rPr>
      </w:pPr>
      <w:r>
        <w:rPr>
          <w:rFonts w:ascii="Times New Roman" w:hAnsi="Times New Roman" w:eastAsia="黑体" w:cs="Times New Roman"/>
          <w:sz w:val="32"/>
          <w:szCs w:val="32"/>
        </w:rPr>
        <w:t>第五十二条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47"/>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3356D16"/>
    <w:rsid w:val="03985ADA"/>
    <w:rsid w:val="052958B6"/>
    <w:rsid w:val="058213F7"/>
    <w:rsid w:val="0963250F"/>
    <w:rsid w:val="097F7BAD"/>
    <w:rsid w:val="09B60066"/>
    <w:rsid w:val="0B3D0578"/>
    <w:rsid w:val="0C327A04"/>
    <w:rsid w:val="0D3C4224"/>
    <w:rsid w:val="0D610029"/>
    <w:rsid w:val="0DE462A3"/>
    <w:rsid w:val="0DFE10B9"/>
    <w:rsid w:val="114147F5"/>
    <w:rsid w:val="134A1994"/>
    <w:rsid w:val="155E2CB3"/>
    <w:rsid w:val="18413C16"/>
    <w:rsid w:val="19DB6C33"/>
    <w:rsid w:val="1C9212F7"/>
    <w:rsid w:val="1F885313"/>
    <w:rsid w:val="20C940B0"/>
    <w:rsid w:val="20D86240"/>
    <w:rsid w:val="22DD4281"/>
    <w:rsid w:val="26CA1A3A"/>
    <w:rsid w:val="28890E1B"/>
    <w:rsid w:val="28F8723D"/>
    <w:rsid w:val="29713EB9"/>
    <w:rsid w:val="2DBE0D65"/>
    <w:rsid w:val="2E1B43B4"/>
    <w:rsid w:val="2FF20DF5"/>
    <w:rsid w:val="317A6004"/>
    <w:rsid w:val="318138A8"/>
    <w:rsid w:val="32252208"/>
    <w:rsid w:val="33CF5811"/>
    <w:rsid w:val="377D0CA9"/>
    <w:rsid w:val="386D21AD"/>
    <w:rsid w:val="3A7915E5"/>
    <w:rsid w:val="3B1265AF"/>
    <w:rsid w:val="3B890C1F"/>
    <w:rsid w:val="3BA0652C"/>
    <w:rsid w:val="3CDF39C7"/>
    <w:rsid w:val="3D762392"/>
    <w:rsid w:val="3E3675FB"/>
    <w:rsid w:val="3F800236"/>
    <w:rsid w:val="3F8C783C"/>
    <w:rsid w:val="40DC5AC3"/>
    <w:rsid w:val="41B857FD"/>
    <w:rsid w:val="42C90612"/>
    <w:rsid w:val="4361706F"/>
    <w:rsid w:val="43CA1521"/>
    <w:rsid w:val="444B0E8A"/>
    <w:rsid w:val="46CA41D8"/>
    <w:rsid w:val="47A250A3"/>
    <w:rsid w:val="4DC87E21"/>
    <w:rsid w:val="4EDF3D2B"/>
    <w:rsid w:val="4EED79F5"/>
    <w:rsid w:val="4F021D86"/>
    <w:rsid w:val="5080370D"/>
    <w:rsid w:val="523F45D1"/>
    <w:rsid w:val="53BF5C69"/>
    <w:rsid w:val="53DA0A43"/>
    <w:rsid w:val="575D4E2E"/>
    <w:rsid w:val="58035B31"/>
    <w:rsid w:val="58F6185E"/>
    <w:rsid w:val="591257DC"/>
    <w:rsid w:val="5DB22BFD"/>
    <w:rsid w:val="5DD739B2"/>
    <w:rsid w:val="5E900D37"/>
    <w:rsid w:val="5F5011B7"/>
    <w:rsid w:val="60492E1B"/>
    <w:rsid w:val="61152047"/>
    <w:rsid w:val="620467BA"/>
    <w:rsid w:val="622D2BEC"/>
    <w:rsid w:val="62F60DE0"/>
    <w:rsid w:val="63DD0DD3"/>
    <w:rsid w:val="649C0E8F"/>
    <w:rsid w:val="654B0853"/>
    <w:rsid w:val="65BF6566"/>
    <w:rsid w:val="665D25F4"/>
    <w:rsid w:val="6A403C00"/>
    <w:rsid w:val="6B4C7D1B"/>
    <w:rsid w:val="6C267EB4"/>
    <w:rsid w:val="6DA577A5"/>
    <w:rsid w:val="6DB87D30"/>
    <w:rsid w:val="6E804287"/>
    <w:rsid w:val="762C29D0"/>
    <w:rsid w:val="769B60FD"/>
    <w:rsid w:val="76C10F77"/>
    <w:rsid w:val="77D8678E"/>
    <w:rsid w:val="7814798C"/>
    <w:rsid w:val="7819740D"/>
    <w:rsid w:val="78ED2B64"/>
    <w:rsid w:val="7A3B758F"/>
    <w:rsid w:val="7A4A2D1D"/>
    <w:rsid w:val="7A4B0114"/>
    <w:rsid w:val="7A6D55E9"/>
    <w:rsid w:val="7C0E15E2"/>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6</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2024-01-09T15:49:35Z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