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邮政法实施细则</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邮政法》(以下简称《邮政法》)的规定，制定本实施细则。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邮电部(以下简称邮电部)是国务院邮政主管部门，管理全国邮政工作。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各省、自治区、直辖市邮电管理局(以下简称邮电管理局)是地区邮政管理机构，管理该地区的邮政工作。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市、县邮电局(含邮政局，下同)是全民所有制的经营邮政业务的公用企业(以下简称邮政企业)，经邮电管理局授权，管理该地区的邮政工作。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邮电支局、邮电所、邮政支局、邮政所是办理邮政业务的分支机构(以下简称分支机构)；邮亭、邮政报刊亭等是邮政企业的服务点。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邮电代办所视同邮政企业所属的分支机构。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未经邮政企业委托，任何单位或者个人不得经营信函、明信片或者其他具有信件性质的物品的寄递业务，但国务院另有规定的除外。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信函是指以套封形式传递的缄封的信息的载体。其他具有信件性质的物品是指以符号、图像、音响等方式传递的信息的载体。具体内容由邮电部规定。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邮政企业委托其他单位或者个人代办邮政业务时，应当协商一致，并签订代办合同。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凡使用我国邮政业务的一切单位或者个人统称邮政用户(以下简称用户)。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邮政企业应当为用户提供迅速、准确、安全、方便的邮政服务，保障用户使用邮政的合法权益。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任何单位或者个人均负有保护通信自由、通信秘密和邮件安全的责任；任何单位或者个人不得利用邮政业务进行法律、法规和政策所禁止的活动。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除因国家安全或者追查刑事犯罪需要，由公安机关、国家安全机关或者检察机关依法对通信进行检查外，邮件在运输、传递过程中，任何单位或者个人不得以任何理由检查、扣留。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因国家安全或者追查刑事犯罪需要，公安机关、国家安全机关、检察机关检查、扣留邮件，冻结汇款、储蓄存款时，必须依法向相关县或者县级以上的邮政企业、邮电管理局出具相应的检查、扣留、冻结通知书，并开列邮件、汇款、储蓄存款的具体节目，办理检查、扣留、冻结手续后，由邮政企业指派专人负责拣出，逐件登记后办理交接手续；对于不需要继续检查、扣留、冻结或者查明与案件无关的邮件、汇款、储蓄存款，应当及时退还邮政企业。邮件、汇款、储蓄存款在检查、扣留、冻结期间造成丢失、损毁的，由相关的公安机关、国家安全机关、检察机关负责赔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人民法院、检察机关依法没收国内邮件、汇款、储蓄存款时，必须出具法律文书，向相关县或者县级以上邮政企业、邮电管理局办理手续。没收进出口国际邮递物品应当由海关作出决定，并办理手续。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有关单位依照法律规定需要收集、调取证据、查阅邮政业务档案时，必须凭相关邮政企业所在地的公安机关、国家安全机关、检察机关、人民法院出具的书面证明，并开列邮件具体节目，向相关县或者县级以上的邮政企业、邮电管理局办理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任何单位或者个人不得从事下列行为妨害邮政工作的正常进行：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(一)损坏邮政设施；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(二)在邮政企业及分支机构门前或者出入通道设摊、堆物，妨害用户用邮或者影响运邮车辆通行；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(三)在办理邮政业务的场所无理取闹或者扰乱正常秩序；</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(四)阻碍邮政工作人员依法执行公务或者寻衅滋事；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(五)拦截邮政运输工具、非法阻碍邮件运递或者强行登乘邮政运输工具；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(六)非法检查或者截留邮件；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(七)其他妨害邮政企业及分支机构或者邮政工作人员正常工作的行为。</w:t>
      </w:r>
    </w:p>
    <w:p>
      <w:pPr>
        <w:pStyle w:val="2"/>
        <w:jc w:val="center"/>
        <w:rPr>
          <w:rFonts w:ascii="方正黑体_GBK" w:eastAsia="方正黑体_GBK"/>
        </w:rPr>
      </w:pPr>
      <w:r>
        <w:rPr>
          <w:rFonts w:hint="eastAsia" w:ascii="方正黑体_GBK" w:hAnsi="Times New Roman" w:eastAsia="方正黑体_GBK" w:cs="Times New Roman"/>
        </w:rPr>
        <w:t>第二章　邮政企业的设置和邮政设施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邮政企业及分支机构的设置标准，由邮电部规定；邮政企业的设置或者撤销，由邮电部批准；分支机构的设置或者撤销，由邮电管理局批准，报邮电部备案。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地方各级人民政府应当将邮政企业及分支机构的设置和邮政设施的建设纳入城乡建设规划。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建设城市新区、独立工矿区、住宅区或者旧城区成片改造，应当同时规划和设置与之配套的邮政企业及分支机构和邮政设施。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邮政企业依法设置邮亭、邮政报刊亭、邮筒、信箱或者流动服务时，有关单位或者个人应当提供方便。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接收邮件的信报箱是居民楼房的配套设施，设计单位应当将其纳入民用住宅建筑设计标准。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居民楼房每一单元的地面层应当安装与住户房号相适应的信报箱或者在楼房集中处设置信报箱间(群)，供住户接收邮件使用。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信报箱由居民楼房的产权所有者或者管理单位负责维修、更换，也可以委托当地邮政企业或者其分支机构维修、更换，所需工料费由委托单位支付。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较大的车站、机场、港口、饭店，应当在方便旅客的地方提供办理邮政业务的场所；邮政企业应当提供邮政业务服务。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任何单位因建设需要，征用、拆迁邮政企业及分支机构或者邮政设施时，应当与当地邮政企业协商，在保证邮政通信正常进行的情况下，应当将邮政企业及分支机构、邮政设施迁至适宜的地方或者另建，所需费用由征用、拆迁单位承担。</w:t>
      </w:r>
    </w:p>
    <w:p>
      <w:pPr>
        <w:pStyle w:val="2"/>
        <w:jc w:val="center"/>
        <w:rPr>
          <w:rFonts w:ascii="方正黑体_GBK" w:eastAsia="方正黑体_GBK"/>
        </w:rPr>
      </w:pPr>
      <w:r>
        <w:rPr>
          <w:rFonts w:hint="eastAsia" w:ascii="方正黑体_GBK" w:hAnsi="Times New Roman" w:eastAsia="方正黑体_GBK" w:cs="Times New Roman"/>
        </w:rPr>
        <w:t>第三章　邮政业务的种类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邮政企业经营国内、国际邮件的寄递业务和邮件的特快专递业务。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国内邮件是指在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领域内互寄的邮件，其中寄自或者寄往香港、澳门、台湾地区的邮件称港澳台地区邮件；国际邮件是指</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与其他国家、地区之间互寄的邮件和其他国家、地区通过中国境内经转的邮件。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国内报刊发行业务是指报刊社委托邮政企业发行报纸、杂志的业务。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报刊社委托邮政企业发行报刊时，应当根据报刊发行的范围向指定的邮政企业或者邮政报刊发行局，出具有关主管部门批准出版和领有报纸、期刊登记证的证明。邮政企业有接办发行能力的，应当与报刊社遵循平等互利、协商一致、等价有偿的原则，按照国家有关规定签订报刊发行合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邮政储蓄、邮政汇兑业务是邮政企业为国家积聚资金、沟通经济往来所经办的金融业务，由邮电部统一管理，并按照国家有关规定，在金融业务上接受中国人民银行的指导。各相关银行应当为邮政企业办理的储蓄、汇兑业务提供便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各项邮政业务的具体种类和邮件分类，由邮电部规定。</w:t>
      </w:r>
    </w:p>
    <w:p>
      <w:pPr>
        <w:pStyle w:val="2"/>
        <w:jc w:val="center"/>
        <w:rPr>
          <w:rFonts w:ascii="方正黑体_GBK" w:eastAsia="方正黑体_GBK"/>
        </w:rPr>
      </w:pPr>
      <w:r>
        <w:rPr>
          <w:rFonts w:hint="eastAsia" w:ascii="方正黑体_GBK" w:hAnsi="Times New Roman" w:eastAsia="方正黑体_GBK" w:cs="Times New Roman"/>
        </w:rPr>
        <w:t>第四章　邮政业务资费和邮资凭证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邮政业务的基本资费是指邮政专营的国内平常信函、明信片的资费；非基本资费是指基本资费以外的邮政业务资费。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邮政业务的基本资费由国务院物价主管部门制定，报国务院批准；非基本资费由邮电部规定。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制定和调整邮政业务资费的依据是：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(一)以保证邮政通信企业的成本费用和自我发展能力为原则，适应社会需要；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(二)国内邮政业务资费，依据支出费用的变动相应调整；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(三)国际邮政业务资费，依据</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万国邮政联盟</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的规定和国际、国内成本费用以及人民币汇率比价的变化作相应调整。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邮资凭证是邮电部发行的，作为邮件纳费标志的有价证券，包括邮票，印在邮资信封、邮资明信片、邮资邮简上的邮票图案，邮资机打印的邮资符志。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万国邮政联盟</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发行的国际回信券，可以根据国际统一规定，兑换成等于特定重量级别的特定类别资费的邮票，但是不得兑换现金。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因工作需要，仿印邮票图案的，必须按照仿印邮票图案的有关规定，报经邮电部邮票主管部门或者有关邮电管理局审核、批准。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印刷单位不得承印未经批准的仿印邮票图案和与邮票相似的印件。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印制通信使用的信封必须符合国家标准，并由当地邮电管理局监制。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印制明信片必须符合邮电部规定的规格标准。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县以上邮政企业，经邮电管理局批准，可以印制、发行带有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中国人民邮政</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字样的明信片；其他单位印制明信片，由当地邮电管理局监制，但不得带有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中国人民邮政</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字样。</w:t>
      </w:r>
    </w:p>
    <w:p>
      <w:pPr>
        <w:pStyle w:val="2"/>
        <w:jc w:val="center"/>
        <w:rPr>
          <w:rFonts w:ascii="方正黑体_GBK" w:eastAsia="方正黑体_GBK"/>
        </w:rPr>
      </w:pPr>
      <w:r>
        <w:rPr>
          <w:rFonts w:hint="eastAsia" w:ascii="方正黑体_GBK" w:hAnsi="Times New Roman" w:eastAsia="方正黑体_GBK" w:cs="Times New Roman"/>
        </w:rPr>
        <w:t>第五章　邮件的寄递和损失赔偿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义务兵从部队发出的平常信函，免费寄递，其他军人不得免费寄递信函。义务兵寄递平常信函的监督管理办法由邮电部会同中国人民解放军有关部门制定。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用户交寄邮件应当符合邮电部规定的准寄内容、封装规格、书写格式，并正确书写邮政编码，其中，用户交寄信函使用的信封，必须符合国家标准；邮件封面和邮政业务单式上不得印(写)有或者粘贴与邮件无关的文字或者其他物品；邮资凭证正面不得涂抹、覆盖其他物品；不得使用伪造、仿印、剪割拼补、加工去污的邮资凭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禁止寄递或者在邮件内夹带下列物品：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(一)法律规定禁止流通或者寄递的物品；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(二)反动报刊书籍、宣传品或者淫秽物品；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(三)爆炸性、易燃性、腐蚀性、放射性、毒性等危险物品；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(四)妨害公共卫生的物品；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(五)容易腐烂的物品；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(六)各种活的动物；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(七)各种货币；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(八)不适合邮寄条件的物品；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(九)包装不妥，可能危害人身安全、污染或者损毁其他邮件、设备的物品。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前款物品，符合邮电部特准交寄规定并确保安全的，可以收寄。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国内限量寄递物品由邮电部会同国务院有关部门规定。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对于违反禁寄、限寄规定寄递的物品，邮政企业或者分支机构应当根据其种类、性质、数量等分别作出下列处理：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(一)不予寄递；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(二)通知寄件人限期领回，逾期不领的就地处理；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(三)移送相关部门依法处理；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(四)造成危害人身安全或者污染、损毁其他邮件、设备的，由寄件人承担赔偿责任。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按照前款(二)项、(三)项处理所需的费用，由寄件人承担。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新建的企业、事业、居民住宅，应当由单位或者居民住宅的主管部门到当地邮政企业或者分支机构办理邮件投递登记手续；单位更改名称、收件人变更地址，应当事先通知当地邮政企业或者分支机构，也可以办理邮件改寄新址手续。邮政企业应当公布登记地点和电话号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具备下列条件者，有关邮政企业或者分支机构应当予以登记，并自登记之日起九十日内安排投递：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(一)具备邮政车辆和邮政工作人员执行公务的通行条件；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(二)有公安机关统一编制的门牌号数；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(三)已安装接收邮件的信报箱或者已设立收发室；</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(四)按规定需要办理中外文名称登记的，应当办妥手续。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邮件的投递方式，除邮电部另有规定外，按下列方式投递：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(一)按址投递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城镇居民的邮件，按收件人地址投递到平房院落门口或者楼房地面层的信报箱或者收发室。单位、单位内附设的机构和个人以及单位院内宿舍用户的邮件，投递到单位收发室。收发室应当设在楼房的地面层，两个以上单位同在一处的，应当商定统一接收邮件的地点。需要上楼投递邮件、报刊的，用户应当与相关邮政企业或者分支机构协商，并按照规定由用户支付特殊服务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农村、牧区的邮件，根据交通条件和邮件量的具体情况，一般投递到乡或者行政村的固定地点；乡或者行政村以下的邮件，由乡人民政府或者村民委员会与邮政企业或者分支机构协商妥交收件人的方式。</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寄交船舶的邮件，投递到船舶隶属单位的收发室。</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(二)用户领取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必须凭通知单到邮政企业或者分支机构办理手续才能领取的邮件，以邮政信箱(用户专用信箱)号码为收件人地址的邮件，存局候领的邮件，超出按址投递规定重量的邮件以及大宗邮件，采用用户领取的方式。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收件人领取给据邮件，收款人兑领汇款，应当向相关邮政企业或者分支机构交验本人有效证件，并在相关单式上盖章或者签名。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代收人受收件(款)人委托，代收给据邮件(汇款)时，应当交验收件(款)人和代收人的有效证件，经邮政企业或者分支机构确认后，由代收人盖章或者签名接收。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有效证件包括居民身份证、户口簿、工作证。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收件人接收给据邮件时发现封皮破损，应当场声明，并核对内件。确属邮政企业或者分支机构的责任而造成内件短少、损毁的，或者由于邮政企业、分支机构的责任造成给据邮件丢失、损毁的，邮政企业或者分支机构应当按照规定予以赔偿。由于收件人所在单位收发人员的过失造成给据邮件丢失、损毁、内件短少者，相关收发人员应当承担规定的赔偿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邮件运递的具体要求由邮电部规定，并予以公告。邮件运递违反邮电部规定的，邮政企业或者分支机构应当向用户补偿，具体补偿办法由邮电部规定。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用户误收的邮件，应当及时退还邮政企业或者分支机构；用户误拆的邮件应当重封签章后退还邮政企业或者分支机构，并对误拆邮件的内容保守秘密。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单位收发人员接收给据邮件时，应当认真点核无误后，在相关清单上盖章签收。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收发人员对于各种邮件负有保护和及时传送的责任，不得私拆、隐匿、毁弃邮件或者撕揭邮票。</w:t>
      </w:r>
    </w:p>
    <w:p>
      <w:pPr>
        <w:pStyle w:val="2"/>
        <w:jc w:val="center"/>
        <w:rPr>
          <w:rFonts w:ascii="方正黑体_GBK" w:eastAsia="方正黑体_GBK"/>
        </w:rPr>
      </w:pPr>
      <w:r>
        <w:rPr>
          <w:rFonts w:hint="eastAsia" w:ascii="方正黑体_GBK" w:hAnsi="Times New Roman" w:eastAsia="方正黑体_GBK" w:cs="Times New Roman"/>
        </w:rPr>
        <w:t>第六章　邮件的运输、验关和检疫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邮电部、邮电管理局应当把邮件运输流向流量变化情况及时通告相关运输部门。各运输部门应当根据邮政通信需要，优先提供有效的车次、航班、舱容。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相关运输部门应当在车站、机场、港口、码头妥善安排装卸、储存邮件和作业所需的场地、出入通道、房屋，以及通报行车或者航行情况的信息设施。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新建、改建、扩建车站、机场、港口、码头，应当统一规划邮件存放、转运所需的场地和通道，其有关基建费用由邮政企业承担。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邮政企业委托运输单位运送邮件，应当签订运邮协议。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运输单位承运的邮件应当先于货物发运。因故临时停运或者改变运行时间、停靠位置时，运输单位应当及时通知邮政企业或者分支机构。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载有邮件的船舶应当悬挂邮旗，各有关港口对于悬挂邮旗的船舶应当优先放行。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运输单位承运邮件，除邮政企业或者分支机构派员押运者外，应当与邮政企业或者分支机构办理交接签收手续。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除不可抗力原因外，邮件在运输单位保管期间或者在运输途中发生丢失、短少、损毁等，相关运输单位应当按照运邮协议的规定予以赔偿。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运邮船舶发生海难必须抛弃所载货物时，非至最后，不得抛弃所运邮件。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执行邮件运输和投递任务的车、船、邮政工作人员通过桥梁、渡口、隧道、检查站时，有关方面应当优先放行。带有邮政专用标志的邮政车辆在运递邮件时，凭公安机关核发的通行证，可以不受禁行路线、禁停地段的限制。运邮车辆或者邮政工作人员在运递邮件途中违章，有关主管部门应当记录后放行，待其完成运递任务后，再行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邮政企业依据运输工具到站(港)、离站(港)时间和运递时限制订的作业时间表应当在变更前三日通知海关。海关应当按照邮政企业通知的作业时间表派员到场监管国际邮袋、查验进出口国际邮递物品；逾时不到场，延误运递时限造成的相关责任，由海关承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关依法查验国际邮包时，在设关地应当与用户当面查验。收、寄件人不能到场的，由海关开拆查验，邮政工作人员在场配合。被开拆查验的邮包，由海关和邮政企业共同封装，双方加具封签或者戳记。海关依法开拆查验的印刷品，应当重封并加具海关封签或者戳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用户交寄应当施行卫生检疫或者动植物检疫的邮件，必须附有检疫证书。检疫部门应当及时对邮件进行验放，以保证邮件的运递时限。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海关、检疫部门依法查验国际邮递物品或者检疫邮件，应当注意爱护；需要封存时，除向寄件人或者收件人发出通知外，应当同邮政企业或者分支机构履行交接手续，并负责保管，封存期不得超过四十五日。特殊情况需要延长封存期的，应当征得邮政企业或者分支机构及寄件人或者收件人的同意，并以不致造成被封存国际邮递物品或者邮件的损失为前提。被封存国际邮递物品或者邮件退还邮政企业或者分支机构时，邮政工作人员应当核对无误后予以签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依法没收国际邮递物品或者经卫生、动植物检疫必须依法销毁的邮件，海关或者检疫部门应当出具没收或者检疫处理通知单，并及时通知寄件人或者收件人和邮政企业或者分支机构。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国际邮递物品在依法查验、封存期间，发生丢失、短少、损毁等，由海关或者检疫部门负责赔偿或处理。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依法查验邮递物品或者对邮件实施检疫需要使用邮政企业或者分支机构的场地和房屋时，由邮政企业与有关部门根据工作需要和实际可能协商解决。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由海关依法处理的无着进口国际邮包，海关应当支付相关邮政费用。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出口国际邮件的海关关单的传递方式由海关总署与邮电部商定。</w:t>
      </w:r>
    </w:p>
    <w:p>
      <w:pPr>
        <w:pStyle w:val="2"/>
        <w:jc w:val="center"/>
        <w:rPr>
          <w:rFonts w:ascii="方正黑体_GBK" w:eastAsia="方正黑体_GBK"/>
        </w:rPr>
      </w:pPr>
      <w:r>
        <w:rPr>
          <w:rFonts w:hint="eastAsia" w:ascii="方正黑体_GBK" w:hAnsi="Times New Roman" w:eastAsia="方正黑体_GBK" w:cs="Times New Roman"/>
        </w:rPr>
        <w:t>第七章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违反本细则第十一条规定的，由有关部门按照国家有关规定根据情节轻重，予以处罚；违反治安管理有关规定的，由公安机关依照《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治安管理处罚条例》处罚。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违反本细则第三十三条第三项规定，尚未造成严重后果的，由公安机关依照《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治安管理处罚条例》处理。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伪造或者冒用邮政专用标志、邮政标志服或者邮政日戳、邮政夹钳、邮袋等邮政专用品的，由邮电管理局或其授权单位处以一千五百元以下罚款，并没收有关物品。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以营利为目的，伪造邮资凭证，未经许可仿印邮票图案或者印制带有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中国人民邮政</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字样明信片的，由邮电管理局或其授权单位处以五千元以下罚款，并没收非法所得和非法物品。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由于用户的故意，交寄的邮件使用不符合规定的邮资凭证的，邮政企业或者分支机构不予发寄，通知寄件人限期撤回，并处以应付邮资十倍的罚款；无法通知寄件人或者逾期不办理撤回手续的，作为无着邮件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邮政工作人员隐匿、毁弃、私拆、盗窃邮件，贪污、冒领用户款项的，邮政企业应当追回赃款赃物，可以并处罚款，还可以根据情节轻重，给予行政处分。具体办法由邮电部规定。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违反本细则第四十一条第二款规定的，依照《邮政法》第三十六条规定追究责任。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第六十条　</w:t>
      </w:r>
      <w:r>
        <w:rPr>
          <w:rFonts w:hint="eastAsia" w:ascii="仿宋_GB2312" w:hAnsi="Times New Roman" w:eastAsia="仿宋_GB2312" w:cs="Times New Roman"/>
          <w:sz w:val="32"/>
          <w:szCs w:val="32"/>
        </w:rPr>
        <w:t>违反本细则规定，构成犯罪的，由司法机关依法追究刑事责任。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第六十一条　</w:t>
      </w:r>
      <w:r>
        <w:rPr>
          <w:rFonts w:hint="eastAsia" w:ascii="仿宋_GB2312" w:hAnsi="Times New Roman" w:eastAsia="仿宋_GB2312" w:cs="Times New Roman"/>
          <w:sz w:val="32"/>
          <w:szCs w:val="32"/>
        </w:rPr>
        <w:t>误收、误拆他人信件不予退还或者已退还但泄露信件内容，侵犯他人通信自由权利的，依照《邮政法》第三十六条规定追究责任。</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第六十二条　</w:t>
      </w:r>
      <w:r>
        <w:rPr>
          <w:rFonts w:hint="eastAsia" w:ascii="仿宋_GB2312" w:hAnsi="Times New Roman" w:eastAsia="仿宋_GB2312" w:cs="Times New Roman"/>
          <w:sz w:val="32"/>
          <w:szCs w:val="32"/>
        </w:rPr>
        <w:t>本细则所称公安机关、国家安全机关、检察机关是指县以上(含县级)公安机关、国家安全机关、检察机关。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第六十三条　</w:t>
      </w:r>
      <w:r>
        <w:rPr>
          <w:rFonts w:hint="eastAsia" w:ascii="仿宋_GB2312" w:hAnsi="Times New Roman" w:eastAsia="仿宋_GB2312" w:cs="Times New Roman"/>
          <w:sz w:val="32"/>
          <w:szCs w:val="32"/>
        </w:rPr>
        <w:t>邮电部可以根据本细则制定有关规章。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第六十四条　</w:t>
      </w:r>
      <w:r>
        <w:rPr>
          <w:rFonts w:hint="eastAsia" w:ascii="仿宋_GB2312" w:hAnsi="Times New Roman" w:eastAsia="仿宋_GB2312" w:cs="Times New Roman"/>
          <w:sz w:val="32"/>
          <w:szCs w:val="32"/>
        </w:rPr>
        <w:t>本细则由邮电部负责解释。</w:t>
      </w:r>
    </w:p>
    <w:p>
      <w:pPr>
        <w:ind w:firstLine="640" w:firstLineChars="200"/>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本细则自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- 6 -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E011D28"/>
    <w:rsid w:val="00122FB0"/>
    <w:rsid w:val="005C4B83"/>
    <w:rsid w:val="00697A00"/>
    <w:rsid w:val="008F79DB"/>
    <w:rsid w:val="00D066F9"/>
    <w:rsid w:val="00EE67D2"/>
    <w:rsid w:val="00F000BD"/>
    <w:rsid w:val="0F61334E"/>
    <w:rsid w:val="254F0449"/>
    <w:rsid w:val="2E011D28"/>
    <w:rsid w:val="50512B10"/>
    <w:rsid w:val="666E1C61"/>
    <w:rsid w:val="66FE419A"/>
    <w:rsid w:val="68443FF4"/>
    <w:rsid w:val="736A1689"/>
    <w:rsid w:val="79F35F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semiHidden/>
    <w:unhideWhenUsed/>
    <w:qFormat/>
    <w:uiPriority w:val="99"/>
    <w:pPr>
      <w:snapToGrid w:val="0"/>
      <w:jc w:val="left"/>
    </w:pPr>
    <w:rPr>
      <w:sz w:val="18"/>
      <w:szCs w:val="18"/>
    </w:rPr>
  </w:style>
  <w:style w:type="character" w:styleId="8">
    <w:name w:val="footnote reference"/>
    <w:basedOn w:val="7"/>
    <w:semiHidden/>
    <w:unhideWhenUsed/>
    <w:qFormat/>
    <w:uiPriority w:val="99"/>
    <w:rPr>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1079</Words>
  <Characters>6151</Characters>
  <Lines>51</Lines>
  <Paragraphs>14</Paragraphs>
  <TotalTime>2</TotalTime>
  <ScaleCrop>false</ScaleCrop>
  <LinksUpToDate>false</LinksUpToDate>
  <CharactersWithSpaces>7216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2019-05-22T15:19:00Z</dcterms:created>
  <dc:creator>Administrator</dc:creator>
  <cp:lastModifiedBy>Administrator</cp:lastModifiedBy>
  <dcterms:modified xsi:type="dcterms:W3CDTF">2023-06-07T07:56:17Z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