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反兴奋剂条例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为了防止在体育运动中使用兴奋剂，保护体育运动参加者的身心健康，维护体育竞赛的公平竞争，根据《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体育法》和其他有关法律，制定本条例。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本条例所称兴奋剂，是指兴奋剂目录所列的禁用物质等。兴奋剂目录由国务院体育主管部门会同国务院药品监督管理部门、国务院卫生主管部门、国务院商务主管部门和海关总署制定、调整并公布。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国家提倡健康、文明的体育运动，加强反兴奋剂的宣传、教育和监督管理，坚持严格禁止、严格检查、严肃处理的反兴奋剂工作方针，禁止使用兴奋剂。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任何单位和个人不得向体育运动参加者提供或者变相提供兴奋剂。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国务院体育主管部门负责并组织全国的反兴奋剂工作。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县级以上人民政府负责药品监督管理的部门和卫生、教育等有关部门，在各自职责范围内依照本条例和有关法律、行政法规的规定负责反兴奋剂工作。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县级以上人民政府体育主管部门，应当加强反兴奋剂宣传、教育工作，提高体育运动参加者和公众的反兴奋剂意识。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广播电台、电视台、报刊媒体以及互联网信息服务提供者应当开展反兴奋剂的宣传。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任何单位和个人发现违反本条例规定行为的，有权向体育主管部门和其他有关部门举报。</w:t>
      </w:r>
    </w:p>
    <w:p>
      <w:pPr>
        <w:pStyle w:val="3"/>
        <w:bidi w:val="0"/>
      </w:pPr>
      <w:r>
        <w:t>第二章　兴奋剂管理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国家对兴奋剂目录所列禁用物质实行严格管理，任何单位和个人不得非法生产、销售、进出口。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生产兴奋剂目录所列蛋白同化制剂、肽类激素(以下简称蛋白同化制剂、肽类激素)，应当依照《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药品管理法》(以下简称药品管理法)的规定取得《药品生产许可证》、药品批准文号。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生产企业应当记录蛋白同化制剂、肽类激素的生产、销售和库存情况，并保存记录至超过蛋白同化制剂、肽类激素有效期2年。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依照药品管理法的规定取得《药品经营许可证》的药品批发企业，具备下列条件，并经省、自治区、直辖市人民政府药品监督管理部门批准，方可经营蛋白同化制剂、肽类激素：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(一)有专门的管理人员；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(二)有专储仓库或者专储药柜；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(三)有专门的验收、检查、保管、销售和出入库登记制度；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蛋白同化制剂、肽类激素的验收、检查、保管、销售和出入库登记记录应当保存至超过蛋白同化制剂、肽类激素有效期2年。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除胰岛素外，药品零售企业不得经营蛋白同化制剂或者其他肽类激素。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进口蛋白同化制剂、肽类激素，除依照药品管理法及其实施条例的规定取得国务院药品监督管理部门发给的进口药品注册证书外，还应当取得省、自治区、直辖市人民政府药品监督管理部门颁发的进口准许证。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进口蛋白同化制剂、肽类激素，应当说明其用途。省、自治区、直辖市人民政府药品监督管理部门应当自收到申请之日起15个工作日内作出决定；对用途合法的，应当予以批准，发给进口准许证。海关凭进口准许证放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申请出口蛋白同化制剂、肽类激素，应当说明供应对象并提交进口国政府主管部门的相关证明文件等资料。省、自治区、直辖市人民政府药品监督管理部门应当自收到申请之日起15个工作日内作出决定；提交进口国政府主管部门的相关证明文件等资料的，应当予以批准，发给出口准许证。海关凭出口准许证放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境内企业接受境外企业委托生产蛋白同化制剂、肽类激素，应当签订书面委托生产合同，并将委托生产合同报省、自治区、直辖市人民政府药品监督管理部门备案。委托生产合同应当载明委托企业的国籍、委托生产的蛋白同化制剂或者肽类激素的品种、数量、生产日期等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境内企业接受境外企业委托生产的蛋白同化制剂、肽类激素不得在境内销售。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蛋白同化制剂、肽类激素的生产企业只能向医疗机构、符合本条例第九条规定的药品批发企业和其他同类生产企业供应蛋白同化制剂、肽类激素。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蛋白同化制剂、肽类激素的批发企业只能向医疗机构、蛋白同化制剂、肽类激素的生产企业和其他同类批发企业供应蛋白同化制剂、肽类激素。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蛋白同化制剂、肽类激素的进口单位只能向蛋白同化制剂、肽类激素的生产企业、医疗机构和符合本条例第九条规定的药品批发企业供应蛋白同化制剂、肽类激素。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肽类激素中的胰岛素除依照本条第一款、第二款、第三款的规定供应外，还可以向药品零售企业供应。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医疗机构只能凭依法享有处方权的执业医师开具的处方向患者提供蛋白同化制剂、肽类激素。处方应当保存2年。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兴奋剂目录所列禁用物质属于麻醉药品、精神药品、医疗用毒性药品和易制毒化学品的，其生产、销售、进口、运输和使用，依照药品管理法和有关行政法规的规定实行特殊管理。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蛋白同化制剂、肽类激素和前款规定以外的兴奋剂目录所列其他禁用物质，实行处方药管理。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药品、食品中含有兴奋剂目录所列禁用物质的，生产企业应当在包装标识或者产品说明书上用中文注明</w:t>
      </w:r>
      <w:r>
        <w:rPr>
          <w:rFonts w:hAnsi="宋体" w:cs="Times New Roman"/>
          <w:sz w:val="32"/>
          <w:szCs w:val="32"/>
        </w:rPr>
        <w:t>“</w:t>
      </w:r>
      <w:r>
        <w:rPr>
          <w:rFonts w:ascii="Times New Roman" w:hAnsi="Times New Roman" w:eastAsia="仿宋_GB2312" w:cs="Times New Roman"/>
          <w:sz w:val="32"/>
          <w:szCs w:val="32"/>
        </w:rPr>
        <w:t>运动员慎用</w:t>
      </w:r>
      <w:r>
        <w:rPr>
          <w:rFonts w:hAnsi="宋体" w:cs="Times New Roman"/>
          <w:sz w:val="32"/>
          <w:szCs w:val="32"/>
        </w:rPr>
        <w:t>”</w:t>
      </w:r>
      <w:r>
        <w:rPr>
          <w:rFonts w:ascii="Times New Roman" w:hAnsi="Times New Roman" w:eastAsia="仿宋_GB2312" w:cs="Times New Roman"/>
          <w:sz w:val="32"/>
          <w:szCs w:val="32"/>
        </w:rPr>
        <w:t>字样。</w:t>
      </w:r>
    </w:p>
    <w:p>
      <w:pPr>
        <w:pStyle w:val="3"/>
        <w:bidi w:val="0"/>
      </w:pPr>
      <w:r>
        <w:t>第三章　反兴奋剂义务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实施运动员注册管理的体育社会团体(以下简称体育社会团体)应当加强对在本体育社会团体注册的运动员和教练、领队、队医等运动员辅助人员的监督管理和反兴奋剂的教育、培训。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运动员管理单位应当加强对其所属的运动员和运动员辅助人员的监督管理和反兴奋剂的教育、培训。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体育社会团体、运动员管理单位和其他单位，不得向运动员提供兴奋剂，不得组织、强迫、欺骗运动员在体育运动中使用兴奋剂。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科研单位不得为使用兴奋剂或者逃避兴奋剂检查提供技术支持。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运动员管理单位应当为其所属运动员约定医疗机构，指导运动员因医疗目的合理使用药物；应当记录并按照兴奋剂检查规则的规定向相关体育社会团体提供其所属运动员的医疗信息和药物使用情况。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体育社会团体、运动员管理单位，应当按照兴奋剂检查规则的规定提供运动员名单和每名运动员的教练、所从事的运动项目以及运动成绩等相关信息，并为兴奋剂检查提供便利。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全国性体育社会团体应当对在本体育社会团体注册的成员的下列行为规定处理措施和处理程序：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(一)运动员使用兴奋剂的；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(二)运动员辅助人员、运动员管理单位向运动员提供兴奋剂的；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(三)运动员、运动员辅助人员、运动员管理单位拒绝、阻挠兴奋剂检查的。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前款所指的处理程序还应当规定当事人的抗辩权和申诉权。全国性体育社会团体应当将处理措施和处理程序报国务院体育主管部门备案。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运动员辅助人员应当教育、提示运动员不得使用兴奋剂，并向运动员提供有关反兴奋剂规则的咨询。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运动员辅助人员不得向运动员提供兴奋剂，不得组织、强迫、欺骗、教唆、协助运动员在体育运动中使用兴奋剂，不得阻挠兴奋剂检查，不得实施影响采样结果的行为。</w:t>
      </w:r>
    </w:p>
    <w:p>
      <w:pPr>
        <w:pStyle w:val="10"/>
        <w:ind w:firstLine="616" w:firstLineChars="200"/>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运动员发现运动员辅助人员违反前款规定的，有权检举、控告。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运动员不得在体育运动中使用兴奋剂。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在体育社会团体注册的运动员、运动员辅助人员凭依法享有处方权的执业医师开具的处方，方可持有含有兴奋剂目录所列禁用物质的药品。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体育社会团体注册的运动员接受医疗诊断时，应当按照兴奋剂检查规则的规定向医师说明其运动员身份。医师对其使用药品时，应当首先选择不含兴奋剂目录所列禁用物质的药品；确需使用含有这类禁用物质的药品的，应当告知其药品性质和使用后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在全国性体育社会团体注册的运动员，因医疗目的确需使用含有兴奋剂目录所列禁用物质的药品的，应当按照兴奋剂检查规则的规定申请核准后方可使用。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运动员应当接受兴奋剂检查，不得实施影响采样结果的行为。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在全国性体育社会团体注册的运动员离开运动员驻地的，应当按照兴奋剂检查规则的规定报告。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实施中等及中等以上教育的学校和其他教育机构应当加强反兴奋剂教育，提高学生的反兴奋剂意识，并采取措施防止在学校体育活动中使用兴奋剂；发现学生使用兴奋剂，应当予以制止。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体育专业教育应当包括反兴奋剂的教学内容。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体育健身活动经营单位及其专业指导人员，不得向体育健身活动参加者提供含有禁用物质的药品、食品。</w:t>
      </w:r>
    </w:p>
    <w:p>
      <w:pPr>
        <w:pStyle w:val="3"/>
        <w:bidi w:val="0"/>
      </w:pPr>
      <w:r>
        <w:t>第四章　兴奋剂检查与检测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国务院体育主管部门应当制定兴奋剂检查规则和兴奋剂检查计划并组织实施。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国务院体育主管部门应当根据兴奋剂检查计划，决定对全国性体育竞赛的参赛运动员实施赛内兴奋剂检查；并可以决定对省级体育竞赛的参赛运动员实施赛内兴奋剂检查。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其他体育竞赛需要进行赛内兴奋剂检查的，由竞赛组织者决定。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国务院体育主管部门应当根据兴奋剂检查计划，决定对在全国性体育社会团体注册的运动员实施赛外兴奋剂检查。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兴奋剂检查工作人员(以下简称检查人员)应当按照兴奋剂检查规则实施兴奋剂检查。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实施兴奋剂检查，应当有2名以上检查人员参加。检查人员履行兴奋剂检查职责时，应当出示兴奋剂检查证件；向运动员采集受检样本时，还应当出示按照兴奋剂检查规则签发的一次性兴奋剂检查授权书。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检查人员履行兴奋剂检查职责时，有权进入体育训练场所、体育竞赛场所和运动员驻地。有关单位和人员应当对检查人员履行兴奋剂检查职责予以配合，不得拒绝、阻挠。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受检样本由国务院体育主管部门确定的符合兴奋剂检测条件的检测机构检测。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兴奋剂检测机构及其工作人员，应当按照兴奋剂检查规则规定的范围和标准对受检样本进行检测。</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体育主管部门和其他行政机关及其工作人员不履行职责，或者包庇、纵容非法使用、提供兴奋剂，或者有其他违反本条例行为的，对负有责任的主管人员和其他直接责任人员，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违反本条例规定，有下列行为之一的，由县级以上人民政府负责药品监督管理的部门按照国务院药品监督管理部门规定的职责分工，没收非法生产、经营的蛋白同化制剂、肽类激素和违法所得，并处违法生产、经营药品货值金额2倍以上5倍以下的罚款；情节严重的，由发证机关吊销《药品生产许可证》、《药品经营许可证》；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(一)生产企业擅自生产蛋白同化制剂、肽类激素，或者未按照本条例规定渠道供应蛋白同化制剂、肽类激素的；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(二)药品批发企业擅自经营蛋白同化制剂、肽类激素，或者未按照本条例规定渠道供应蛋白同化制剂、肽类激素的；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(三)药品零售企业擅自经营蛋白同化制剂、肽类激素的。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体育社会团体、运动员管理单位向运动员提供兴奋剂或者组织、强迫、欺骗运动员在体育运动中使用兴奋剂的，由国务院体育主管部门或者省、自治区、直辖市人民政府体育主管部门收缴非法持有的兴奋剂；负有责任的主管人员和其他直接责任人员4年内不得从事体育管理工作和运动员辅助工作；情节严重的，终身不得从事体育管理工作和运动员辅助工作；造成运动员人身损害的，依法承担民事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体育社会团体、运动员管理单位未履行本条例规定的其他义务的，由国务院体育主管部门或者省、自治区、直辖市人民政府体育主管部门责令改正；造成严重后果的，负有责任的主管人员和其他直接责任人员2年内不得从事体育管理工作和运动员辅助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运动员辅助人员组织、强迫、欺骗、教唆运动员在体育运动中使用兴奋剂的，由国务院体育主管部门或者省、自治区、直辖市人民政府体育主管部门收缴非法持有的兴奋剂；4年内不得从事运动员辅助工作和体育管理工作；情节严重的，终身不得从事运动员辅助工作和体育管理工作；造成运动员人身损害的，依法承担民事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动员辅助人员向运动员提供兴奋剂，或者协助运动员在体育运动中使用兴奋剂，或者实施影响采样结果行为的，由国务院体育主管部门或者省、自治区、直辖市人民政府体育主管部门收缴非法持有的兴奋剂；2年内不得从事运动员辅助工作和体育管理工作；情节严重的，终身不得从事运动员辅助工作和体育管理工作；造成运动员人身损害的，依法承担民事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运动员辅助人员非法持有兴奋剂的，由国务院体育主管部门或者省、自治区、直辖市人民政府体育主管部门收缴非法持有的兴奋剂；情节严重的，2年内不得从事运动员辅助工作。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体育社会团体、运动员管理单位违反本条例规定，负有责任的主管人员和其他直接责任人员属于国家工作人员的，还应当依法给予撤职、开除的行政处分。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运动员辅助人员违反本条例规定，属于国家工作人员的，还应当依法给予撤职、开除的行政处分。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按照本条例第三十九条、第四十条、第四十一条规定作出的处理决定应当公开，公众有权查阅。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医师未按照本条例的规定使用药品，或者未履行告知义务的，由县级以上人民政府卫生主管部门给予警告；造成严重后果的，责令暂停6个月以上1年以下执业活动。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体育健身活动经营单位向体育健身活动参加者提供含有禁用物质的药品、食品的，由负责药品监督管理的部门、食品安全监督管理部门依照药品管理法、《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食品安全法》和有关行政法规的规定予以处罚。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运动员违反本条例规定的，由有关体育社会团体、运动员管理单位、竞赛组织者作出取消参赛资格、取消比赛成绩或者禁赛的处理。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运动员因受到前款规定的处理不服的，可以向体育仲裁机构申请仲裁。</w:t>
      </w:r>
    </w:p>
    <w:p>
      <w:pPr>
        <w:pStyle w:val="3"/>
        <w:bidi w:val="0"/>
      </w:pPr>
      <w:r>
        <w:t>第六章　附则</w:t>
      </w:r>
    </w:p>
    <w:p>
      <w:pPr>
        <w:pStyle w:val="3"/>
        <w:bidi w:val="0"/>
        <w:rPr>
          <w:rFonts w:hint="eastAsia"/>
          <w:lang w:eastAsia="zh-CN"/>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FE16FBA"/>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2232D2"/>
    <w:rsid w:val="2C7458A4"/>
    <w:rsid w:val="2D644059"/>
    <w:rsid w:val="2DBE0D65"/>
    <w:rsid w:val="2DDE6B1E"/>
    <w:rsid w:val="2E1B43B4"/>
    <w:rsid w:val="2ED32E01"/>
    <w:rsid w:val="2F7908AB"/>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A23060"/>
    <w:rsid w:val="3CAF6F9F"/>
    <w:rsid w:val="3CDF39C7"/>
    <w:rsid w:val="3D147850"/>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5BD7512"/>
    <w:rsid w:val="46D80A88"/>
    <w:rsid w:val="47793996"/>
    <w:rsid w:val="47A250A3"/>
    <w:rsid w:val="48AC4D69"/>
    <w:rsid w:val="494B3B16"/>
    <w:rsid w:val="49C224BB"/>
    <w:rsid w:val="4A4F5FBC"/>
    <w:rsid w:val="4A732A37"/>
    <w:rsid w:val="4D7C1855"/>
    <w:rsid w:val="4DC87E21"/>
    <w:rsid w:val="4E4E7955"/>
    <w:rsid w:val="4E6A2FDF"/>
    <w:rsid w:val="4EC64FB3"/>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9D21D11"/>
    <w:rsid w:val="59E327B7"/>
    <w:rsid w:val="5B353B99"/>
    <w:rsid w:val="5B6D42C1"/>
    <w:rsid w:val="5C223266"/>
    <w:rsid w:val="5CC423C4"/>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1AE146C"/>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58742E"/>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2023-06-05T04:08:48Z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