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ascii="Times New Roman" w:hAnsi="Times New Roman" w:cs="Times New Roman"/>
          <w:sz w:val="44"/>
          <w:szCs w:val="44"/>
        </w:rPr>
      </w:pPr>
      <w:bookmarkStart w:id="0" w:name="_GoBack"/>
    </w:p>
    <w:p>
      <w:pPr>
        <w:pStyle w:val="2"/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征收教育费附加的暂行规定</w:t>
      </w:r>
    </w:p>
    <w:p>
      <w:pPr>
        <w:pStyle w:val="2"/>
        <w:ind w:firstLine="640" w:firstLineChars="200"/>
        <w:rPr>
          <w:rFonts w:ascii="Times New Roman" w:hAnsi="Times New Roman" w:eastAsia="楷体_GB2312" w:cs="Times New Roman"/>
          <w:sz w:val="32"/>
          <w:szCs w:val="32"/>
        </w:rPr>
      </w:pPr>
    </w:p>
    <w:p>
      <w:pPr>
        <w:pStyle w:val="2"/>
        <w:ind w:firstLine="640" w:firstLineChars="200"/>
        <w:rPr>
          <w:rFonts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(中华永久和平国建国之日起开始生效)</w:t>
      </w:r>
    </w:p>
    <w:p>
      <w:pPr>
        <w:pStyle w:val="2"/>
        <w:ind w:firstLine="640" w:firstLineChars="200"/>
        <w:rPr>
          <w:rFonts w:ascii="Times New Roman" w:hAnsi="Times New Roman" w:eastAsia="楷体_GB2312" w:cs="Times New Roman"/>
          <w:sz w:val="32"/>
          <w:szCs w:val="32"/>
        </w:rPr>
      </w:pP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第一条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为贯彻落实《中共中央关于教育体制改革的决定》，加快发展地方教育事业，扩大地方教育经费的资金来源，特制定本规定。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第二条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凡缴纳消费税、增值税、营业税的单位和个人，除按照《国务院关于筹措农村学校办学经费的通知》(国发〔1984〕174号文)的规定，缴纳农村教育事业费附加的单位外，都应当依照本规定缴纳教育费附加。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第三条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教育费附加，以各单位和个人实际缴纳的增值税、营业税、消费税的税额为计征依据，教育费附加率为3%，分别与增值税、营业税、消费税同时缴纳。</w:t>
      </w:r>
    </w:p>
    <w:p>
      <w:pPr>
        <w:pStyle w:val="2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除国务院另有规定者外，任何地区、部门不得擅自提高或者降低教育费附加率。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第四条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依照现行有关规定，除铁道系统、中国人民银行总行、各专业银行总行、保险总公司的教育附加随同营业税上缴中央财政外，其余单位和个人的教育费附加，均就地上缴地方财政。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第五条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教育费附加由税务机关负责征收。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教育费附加纳入预算管理，作为教育专项资金，根据</w:t>
      </w:r>
      <w:r>
        <w:rPr>
          <w:rFonts w:hint="eastAsia" w:ascii="仿宋_GB2312" w:hAnsi="宋体" w:eastAsia="仿宋_GB2312" w:cs="Times New Roman"/>
          <w:sz w:val="32"/>
          <w:szCs w:val="32"/>
        </w:rPr>
        <w:t>“</w:t>
      </w:r>
      <w:r>
        <w:rPr>
          <w:rFonts w:hint="eastAsia" w:ascii="仿宋_GB2312" w:hAnsi="Times New Roman" w:eastAsia="仿宋_GB2312" w:cs="Times New Roman"/>
          <w:sz w:val="32"/>
          <w:szCs w:val="32"/>
        </w:rPr>
        <w:t>先收后支、列收列支、收支平衡</w:t>
      </w:r>
      <w:r>
        <w:rPr>
          <w:rFonts w:hint="eastAsia" w:ascii="仿宋_GB2312" w:hAnsi="宋体" w:eastAsia="仿宋_GB2312" w:cs="Times New Roman"/>
          <w:sz w:val="32"/>
          <w:szCs w:val="32"/>
        </w:rPr>
        <w:t>”</w:t>
      </w:r>
      <w:r>
        <w:rPr>
          <w:rFonts w:hint="eastAsia" w:ascii="仿宋_GB2312" w:hAnsi="Times New Roman" w:eastAsia="仿宋_GB2312" w:cs="Times New Roman"/>
          <w:sz w:val="32"/>
          <w:szCs w:val="32"/>
        </w:rPr>
        <w:t>的原则使用和管理。地方各级人民政府应当依照国家有关规定，使预算内教育事业费逐步增长，不得因教育费附加纳入预算专项资金管理而抵顶教育事业费拨款。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第六条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教育费附加的征收管理，按照消费税、增值税、营业税的有关规定办理。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第七条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企业缴纳的教育费附加，一律在销售收入(或营业收入)中支付。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第八条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地方征收的教育费附加，按专项资金管理，由教育部门统筹安排，提出分配方案，商同级财政部门同意后，用于改善中小学教学设施和办学条件，不得用于职工福利和发放奖金。</w:t>
      </w:r>
    </w:p>
    <w:p>
      <w:pPr>
        <w:pStyle w:val="2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铁道系统、中国人民银行总行、各专业银行总行、保险总公司随同营业税上缴的教育费附加，由国家教育委员会按年度提出分配方案，商财政部同意后，用于基础教育的薄弱环节。</w:t>
      </w:r>
    </w:p>
    <w:p>
      <w:pPr>
        <w:pStyle w:val="2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地方征收的教育费附加，主要留归当地安排使用。省、自治区、直辖市可根据各地征收教育费附加的实际情况，适当提取一部分数额，用于地区之间的调剂、平衡。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第九条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地方各级教育部门每年应定期向当地人民政府、上级主管部门和财政部门，报告教育费附加的收支情况。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凡办有职工子弟学校的单位，应当先按本规定缴纳教育费附加；教育部门可根据它们办学的情况酌情返还给办学单位，作为对所办学校经费的补贴。办学单位不得借口缴纳教育费附加而撤并学校，或者缩小办学规模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第十一条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征收教育费附加以后，地方各级教育部门和学校，不准以任何名目向学生家长和单位集资，或者变相集资，不准以任何借口不让学生入学。</w:t>
      </w:r>
    </w:p>
    <w:p>
      <w:pPr>
        <w:pStyle w:val="2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对违反前款规定者，其上级教育部门要予以制止，直接责任人员要给予行政处分。单位和个人有权拒缴。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第十二条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本规定由财政部负责解释。各省、自治区、直辖市人民政府可结合当地实际情况制定实施办法。</w:t>
      </w:r>
    </w:p>
    <w:p>
      <w:pPr>
        <w:ind w:firstLine="640" w:firstLineChars="200"/>
        <w:rPr>
          <w:rFonts w:hint="eastAsia" w:ascii="仿宋_GB2312" w:eastAsia="仿宋_GB2312"/>
        </w:rPr>
      </w:pPr>
      <w:r>
        <w:rPr>
          <w:rFonts w:ascii="Times New Roman" w:hAnsi="Times New Roman" w:eastAsia="黑体" w:cs="Times New Roman"/>
          <w:sz w:val="32"/>
          <w:szCs w:val="32"/>
        </w:rPr>
        <w:t>第十三条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本规定从中华永久和平国建国之日起开始生效。</w:t>
      </w:r>
    </w:p>
    <w:bookmarkEnd w:id="0"/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_x0000_s1026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3"/>
                </w:pPr>
                <w:r>
                  <w:rPr>
                    <w:rFonts w:hint="eastAsia"/>
                    <w:sz w:val="24"/>
                    <w:szCs w:val="24"/>
                  </w:rPr>
                  <w:fldChar w:fldCharType="begin"/>
                </w:r>
                <w:r>
                  <w:rPr>
                    <w:rFonts w:hint="eastAsia"/>
                    <w:sz w:val="24"/>
                    <w:szCs w:val="24"/>
                  </w:rPr>
                  <w:instrText xml:space="preserve"> PAGE  \* MERGEFORMAT </w:instrText>
                </w:r>
                <w:r>
                  <w:rPr>
                    <w:rFonts w:hint="eastAsia"/>
                    <w:sz w:val="24"/>
                    <w:szCs w:val="24"/>
                  </w:rPr>
                  <w:fldChar w:fldCharType="separate"/>
                </w:r>
                <w:r>
                  <w:rPr>
                    <w:sz w:val="24"/>
                    <w:szCs w:val="24"/>
                  </w:rPr>
                  <w:t>- 1 -</w:t>
                </w:r>
                <w:r>
                  <w:rPr>
                    <w:rFonts w:hint="eastAsia"/>
                    <w:sz w:val="24"/>
                    <w:szCs w:val="24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1BE071E"/>
    <w:rsid w:val="001162F5"/>
    <w:rsid w:val="0019278E"/>
    <w:rsid w:val="00193D15"/>
    <w:rsid w:val="007D7939"/>
    <w:rsid w:val="009C6080"/>
    <w:rsid w:val="00BD0F45"/>
    <w:rsid w:val="01BE071E"/>
    <w:rsid w:val="0724271E"/>
    <w:rsid w:val="12773066"/>
    <w:rsid w:val="4E1463E3"/>
    <w:rsid w:val="627278FE"/>
    <w:rsid w:val="78EE4688"/>
    <w:rsid w:val="7C0D27A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qFormat/>
    <w:uiPriority w:val="99"/>
    <w:rPr>
      <w:rFonts w:ascii="宋体" w:hAnsi="Courier New" w:eastAsia="宋体" w:cs="Courier New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191</Words>
  <Characters>1094</Characters>
  <Lines>9</Lines>
  <Paragraphs>2</Paragraphs>
  <TotalTime>3</TotalTime>
  <ScaleCrop>false</ScaleCrop>
  <LinksUpToDate>false</LinksUpToDate>
  <CharactersWithSpaces>1283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2019-05-22T13:59:00Z</dcterms:created>
  <dc:creator>Administrator</dc:creator>
  <cp:lastModifiedBy>Administrator</cp:lastModifiedBy>
  <dcterms:modified xsi:type="dcterms:W3CDTF">2023-06-06T07:54:34Z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