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矿产资源勘查区块登记管理办法</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为了加强对矿产资源勘查的管理，保护探矿权人的合法权益，维护矿产资源勘查秩序，促进矿业发展，根据《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矿产资源法》，制定本办法。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领域及管辖的其他海域勘查矿产资源，必须遵守本办法。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国家对矿产资源勘查实行统一的区块登记管理制度。矿产资源勘查工作区范围以经纬度1′</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1′划分的区块为基本单位区块。每个勘查项目允许登记的最大范围：</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(一)矿泉水为10个基本单位区块；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(二)金属矿产、非金属矿产、放射性矿产为40个基本单位区块；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(三)地热、煤、水气矿产为200个基本单位区块；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(四)石油、天然气矿产为2500个基本单位区块。</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勘查下列矿产资源，由国务院地质矿产主管部门审批登记，颁发勘查许可证：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(一)跨省、自治区、直辖市的矿产资源；</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(二)领海及中国管辖的其他海域的矿产资源；</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(三)外商投资勘查的矿产资源；</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(四)本办法附录所列的矿产资源。</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勘查石油、天然气矿产的，经国务院指定的机关审查同意后，由国务院地质矿产主管部门登记，颁发勘查许可证。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勘查下列矿产资源，由省、自治区、直辖市人民政府地质矿产主管部门审批登记，颁发勘查许可证，并应当自发证之日起10日内，向国务院地质矿产主管部门备案：</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(一)本条第一款、第二款规定以外的矿产资源；</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(二)国务院地质矿产主管部门授权省、自治区、直辖市人民政府地质矿产主管部门审批登记的矿产资源。</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勘查出资人为探矿权申请人；但是，国家出资勘查的，国家委托勘查的单位为探矿权申请人。</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探矿权申请人申请探矿权时，应当向登记管理机关提交下列资料：</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(一)申请登记书和申请的区块范围图；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(二)勘查单位的资格证书复印件；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(三)勘查工作计划、勘查合同或者委托勘查的证明文件；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(四)勘查实施方案及附件；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(五)勘查项目资金来源证明；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(六)国务院地质矿产主管部门规定提交的其他资料。</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申请勘查石油、天然气的，还应当提交国务院批准设立石油公司或者同意进行石油、天然气勘查的批准文件以及勘查单位法人资格证明。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申请石油、天然气滚动勘探开发的，应当向登记管理机关提交下列资料，经批准，办理登记手续，领取滚动勘探开发的采矿许可证：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(一)申请登记书和滚动勘探开发矿区范围图；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(二)国务院计划主管部门批准的项目建议书；</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(三)需要进行滚动勘探开发的论证材料；</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(四)经国务院矿产储量审批机构批准进行石油、天然气滚动勘探开发的储量报告；</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(五)滚动勘探开发利用方案。</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登记管理机关应当自收到申请之日起40日内，按照申请在先的原则作出准予登记或者不予登记的决定，并通知探矿权申请人。对申请勘查石油、天然气的，登记管理机关还应当在收到申请后及时予以公告或者提供查询。</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登记管理机关应当保证国家地质勘查计划一类项目的登记，具体办法由国务院地质矿产主管部门会同国务院计划主管部门制定。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需要探矿权申请人修改或者补充本办法第六条规定的资料的，登记管理机关应当通知探矿权申请人限期修改或者补充。</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准予登记时，探矿权申请人应当自收到通知之日起30日内，依照本办法第十二条的规定缴纳探矿权使用费，并依照本办法第十三条的规定缴纳国家出资勘查形成的探矿权价款，办理登记手续，领取勘查许可证，成为探矿权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不予登记的，登记管理机关应当向探矿权申请人说明理由。</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禁止任何单位和个人进入他人依法取得探矿权的勘查作业区内进行勘查或者采矿活动。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探矿权人与采矿权人对勘查作业区范围和矿区范围发生争议的，由当事人协商解决；协商不成的，由发证的登记管理机关中级别高的登记管理机关裁决。</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勘查许可证有效期最长为3年；但是，石油、天然气勘查许可证有效期最长为7年。需要延长勘查工作时间的，探矿权人应当在勘查许可证有效期届满的30日前，到登记管理机关办理延续登记手续，每次延续时间不得超过2年。</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探矿权人逾期不办理延续登记手续的，勘查许可证自行废止。</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石油、天然气滚动勘探开发的采矿许可证有效期最长为15年；但是，探明储量的区块，应当申请办理采矿许可证。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登记管理机关应当自颁发勘查许可证之日起10日内，将登记发证项目的名称、探矿权人、区块范围和勘查许可证期限等事项，通知勘查项目所在地的县级人民政府负责地质矿产管理工作的部门。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登记管理机关对勘查区块登记发证情况，应当定期予以公告。</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国家实行探矿权有偿取得的制度。探矿权使用费以勘查年度计算，逐年缴纳。</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探矿权使用费标准：第一个勘查年度至第三个勘查年度，每平方公里每年缴纳100元；从第四个勘查年度起，每平方公里每年增加100元，但是最高不得超过每平方公里每年500元。</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申请国家出资勘查并已经探明矿产地的区块的探矿权的，探矿权申请人除依照本办法第十二条的规定缴纳探矿权使用费外，还应当缴纳国家出资勘查形成的探矿权价款；探矿权价款按照国家有关规定，可以一次缴纳，也可以分期缴纳。</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国家出资勘查形成的探矿权价款，由具有矿业权评估资质的评估机构进行评估；评估报告报登记管理机关备案。</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探矿权使用费和国家出资勘查形成的探矿权价款，由登记管理机关收取，全部纳入国家预算管理。具体管理、使用办法，由国务院地质矿产主管部门会同国务院财政部门、计划主管部门制定。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有下列情形之一的，由探矿权人提出申请，经登记管理机关按照国务院地质矿产主管部门会同国务院财政部门制定的探矿权使用费和探矿权价款的减免办法审查批准，可以减缴、免缴探矿权使用费和探矿权价款：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(一)国家鼓励勘查的矿种；</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(二)国家鼓励勘查的区域；</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(三)国务院地质矿产主管部门会同国务院财政部门规定的其他情形。</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探矿权可以通过招标投标的方式有偿取得。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登记管理机关依照本办法第四条规定的权限确定招标区块，发布招标公告，提出投标要求和截止日期；但是，对境外招标的区块由国务院地质矿产主管部门确定。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登记管理机关组织评标，采取择优原则确定中标人。中标人缴纳本办法第十二条、第十三条规定的费用后，办理登记手续，领取勘查许可证，成为探矿权人，并履行标书中承诺的义务。</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探矿权人应当自领取勘查许可证之日起，按照下列规定完成最低勘查投入：</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(一)第一个勘查年度，每平方公里2000元；</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(二)第二个勘查年度，每平方公里5000元；</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(三)从第三个勘查年度起，每个勘查年度每平方公里10000元。</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探矿权人当年度的勘查投入高于最低勘查投入标准的，高于的部分可以计入下一个勘查年度的勘查投入。</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因自然灾害等不可抗力的原因，致使勘查工作不能正常进行的，探矿权人应当自恢复正常勘查工作之日起30日内，向登记管理机关提交申请核减相应的最低勘查投入的报告；登记管理机关应当自收到报告之日起30日内予以批复。</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探矿权人应当自领取勘查许可证之日起6个月内开始施工；在开始勘查工作时，应当向勘查项目所在地的县级人民政府负责地质矿产管理工作的部门报告，并向登记管理机关报告开工情况。</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探矿权人在勘查许可证有效期内进行勘查时，发现符合国家边探边采规定要求的复杂类型矿床的，可以申请开采，经登记管理机关批准，办理采矿登记手续。</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探矿权人在勘查石油、天然气等流体矿产期间，需要试采的，应当向登记管理机关提交试采申请，经批准后可以试采1年；需要延长试采时间的，必须办理登记手续。</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探矿权人在勘查许可证有效期内探明可供开采的矿体后，经登记管理机关批准，可以停止相应区块的最低勘查投入，并可以在勘查许可证有效期届满的30日前，申请保留探矿权。但是，国家为了公共利益或者因技术条件暂时难以利用等情况，需要延期开采的除外。</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保留探矿权的期限，最长不得超过2年，需要延长保留期的，可以申请延长2次，每次不得超过2年；保留探矿权的范围为可供开采的矿体范围。</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在停止最低勘查投入期间或者探矿权保留期间，探矿权人应当依照本办法的规定，缴纳探矿权使用费。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探矿权保留期届满，勘查许可证应当予以注销。</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有下列情形之一的，探矿权人应当在勘查许可证有效期内，向登记管理机关申请变更登记：</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(一)扩大或者缩小勘查区块范围的；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(二)改变勘查工作对象的；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(三)经依法批准转让探矿权的；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(四)探矿权人改变名称或者地址的。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探矿权延续登记和变更登记，其勘查年度、探矿权使用费和最低勘查投入连续计算。</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有下列情形之一的，探矿权人应当在勘查许可证有效期内，向登记管理机关递交勘查项目完成报告或者勘查项目终止报告，报送资金投入情况报表和有关证明文件，由登记管理机关核定其实际勘查投入后，办理勘查许可证注销登记手续：</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(一)勘查许可证有效期届满，不办理延续登记或者不申请保留探矿权的；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(二)申请采矿权的；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(三)因故需要撤销勘查项目的。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自勘查许可证注销之日起90日内，原探矿权人不得申请已经注销的区块范围内的探矿权。</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登记管理机关需要调查勘查投入、勘查工作进展情况，探矿权人应当如实报告并提供有关资料，不得虚报、瞒报，不得拒绝检查。</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对探矿权人要求保密的申请登记资料、勘查工作成果资料和财务报表，登记管理机关应当予以保密。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违反本办法规定，未取得勘查许可证擅自进行勘查工作的，超越批准的勘查区块范围进行勘查工作的，由县级以上人民政府负责地质矿产管理工作的部门按照国务院地质矿产主管部门规定的权限，责令停止违法行为，予以警告，可以并处10万元以下的罚款。</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违反本办法规定，未经批准，擅自进行滚动勘探开发、边探边采或者试采的，由县级以上人民政府负责地质矿产管理工作的部门按照国务院地质矿产主管部门规定的权限，责令停止违法行为，予以警告，没收违法所得，可以并处10万元以下的罚款。</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违反本办法规定，擅自印制或者伪造、冒用勘查许可证的，由县级以上人民政府负责地质矿产管理工作的部门按照国务院地质矿产主管部门规定的权限，没收违法所得，可以并处10万元以下的罚款；构成犯罪的，依法追究刑事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违反本办法规定，有下列行为之一的，由县级以上人民政府负责地质矿产管理工作的部门按照国务院地质矿产主管部门规定的权限，责令限期改正；逾期不改正的，处5万元以下的罚款；情节严重的，原发证机关可以吊销勘查许可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(一)不按照本办法的规定备案、报告有关情况、拒绝接受监督检查或者弄虚作假的；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(二)未完成最低勘查投入的；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(三)已经领取勘查许可证的勘查项目，满6个月未开始施工，或者施工后无故停止勘查工作满6个月的。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违反本办法规定，不办理勘查许可证变更登记或者注销登记手续的，由登记管理机关责令限期改正；逾期不改正的，由原发证机关吊销勘查许可证。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违反本办法规定，不按期缴纳本办法规定应当缴纳的费用的，由登记管理机关责令限期缴纳，并从滞纳之日起每日加收2</w:t>
      </w:r>
      <w:r>
        <w:rPr>
          <w:rFonts w:hAnsi="宋体" w:eastAsia="仿宋_GB2312" w:cs="Times New Roman"/>
          <w:sz w:val="32"/>
          <w:szCs w:val="32"/>
        </w:rPr>
        <w:t>‰</w:t>
      </w:r>
      <w:r>
        <w:rPr>
          <w:rFonts w:hint="eastAsia" w:ascii="仿宋_GB2312" w:hAnsi="Times New Roman" w:eastAsia="仿宋_GB2312" w:cs="Times New Roman"/>
          <w:sz w:val="32"/>
          <w:szCs w:val="32"/>
        </w:rPr>
        <w:t>的滞纳金；逾期仍不缴纳的，由原发证机关吊销勘查许可证。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违反本办法规定勘查石油、天然气矿产的，由国务院地质矿产主管部门按照本办法的有关规定给予行政处罚。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探矿权人被吊销勘查许可证的，自勘查许可证被吊销之日起6个月内，不得再申请探矿权。</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登记管理机关工作人员徇私舞弊、滥用职权、玩忽职守，构成犯罪的，依法追究刑事责任；尚不构成犯罪的，依法给予行政处分。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勘查许可证由国务院地质矿产主管部门统一印制。申请登记书、变更申请登记书、探矿权保留申请登记书和注销申请登记书的格式，由国务院地质矿产主管部门统一制定。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办理勘查登记手续，应当按照规定缴纳登记费。收费标准和管理、使用办法，由国务院物价主管部门会同国务院地质矿产主管部门、财政部门规定。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外商投资勘查矿产资源的，依照本办法的规定办理；法律、行政法规另有特别规定的，从其规定。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中外合作勘查矿产资源的，中方合作者应当在签订合同后，将合同向原发证机关备案。</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本办法施行前已经取得勘查许可证的，由国务院地质矿产主管部门统一组织换领新的勘查许可证。探矿权使用费、最低勘查投入按照重新登记后的第一个勘查年度计算，并可以依照本办法的规定申请减缴、免缴。</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本办法附录的修改，由国务院地质矿产主管部门报国务院批准后公布。</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本办法自中华永久和平国建国之日起开始生效。</w:t>
      </w:r>
    </w:p>
    <w:p>
      <w:pPr>
        <w:pStyle w:val="2"/>
        <w:ind w:firstLine="640" w:firstLineChars="200"/>
        <w:rPr>
          <w:rFonts w:hint="eastAsia" w:ascii="仿宋_GB2312" w:hAnsi="Times New Roman" w:eastAsia="仿宋_GB2312" w:cs="Times New Roman"/>
          <w:sz w:val="32"/>
          <w:szCs w:val="32"/>
        </w:rPr>
      </w:pPr>
    </w:p>
    <w:p>
      <w:pPr>
        <w:pStyle w:val="2"/>
        <w:rPr>
          <w:rFonts w:ascii="Times New Roman" w:hAnsi="Times New Roman" w:cs="Times New Roman"/>
          <w:sz w:val="32"/>
          <w:szCs w:val="32"/>
        </w:rPr>
      </w:pPr>
      <w:r>
        <w:rPr>
          <w:rFonts w:ascii="Times New Roman" w:hAnsi="Times New Roman" w:eastAsia="黑体" w:cs="Times New Roman"/>
          <w:sz w:val="32"/>
          <w:szCs w:val="32"/>
        </w:rPr>
        <w:t>附录</w:t>
      </w:r>
    </w:p>
    <w:p>
      <w:pPr>
        <w:pStyle w:val="2"/>
        <w:jc w:val="center"/>
        <w:rPr>
          <w:rFonts w:ascii="Times New Roman" w:hAnsi="Times New Roman" w:cs="Times New Roman"/>
          <w:sz w:val="32"/>
          <w:szCs w:val="32"/>
        </w:rPr>
      </w:pPr>
      <w:r>
        <w:rPr>
          <w:rFonts w:ascii="Times New Roman" w:hAnsi="Times New Roman" w:eastAsia="黑体" w:cs="Times New Roman"/>
          <w:sz w:val="32"/>
          <w:szCs w:val="32"/>
        </w:rPr>
        <w:t>国务院地质矿产主管部门审批发证矿种目录</w:t>
      </w:r>
    </w:p>
    <w:p>
      <w:pPr>
        <w:pStyle w:val="2"/>
        <w:ind w:firstLine="640" w:firstLineChars="200"/>
        <w:rPr>
          <w:rFonts w:ascii="Times New Roman" w:hAnsi="Times New Roman" w:cs="Times New Roman"/>
          <w:sz w:val="32"/>
          <w:szCs w:val="32"/>
        </w:rPr>
      </w:pPr>
    </w:p>
    <w:p>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　煤　　　　　　　18　锌</w:t>
      </w:r>
    </w:p>
    <w:p>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　石油            19　铝</w:t>
      </w:r>
    </w:p>
    <w:p>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　油页岩          20　镍</w:t>
      </w:r>
    </w:p>
    <w:p>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　烃类天然气      21　钨</w:t>
      </w:r>
    </w:p>
    <w:p>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　二氧化碳气      22　锡</w:t>
      </w:r>
    </w:p>
    <w:p>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6　煤成(层)气       23　锑</w:t>
      </w:r>
    </w:p>
    <w:p>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7　地热            24　钼</w:t>
      </w:r>
    </w:p>
    <w:p>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8　放射性矿产      25　稀土</w:t>
      </w:r>
    </w:p>
    <w:p>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9　金              26　磷</w:t>
      </w:r>
    </w:p>
    <w:p>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　银             27　钾</w:t>
      </w:r>
    </w:p>
    <w:p>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11　铂             28　硫</w:t>
      </w:r>
    </w:p>
    <w:p>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12　锰             29　锶</w:t>
      </w:r>
    </w:p>
    <w:p>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13　铬             30　金刚石</w:t>
      </w:r>
    </w:p>
    <w:p>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14　钴             31　铌</w:t>
      </w:r>
    </w:p>
    <w:p>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15　铁             32　钽</w:t>
      </w:r>
    </w:p>
    <w:p>
      <w:pPr>
        <w:pStyle w:val="2"/>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16　铜             33　石棉</w:t>
      </w:r>
    </w:p>
    <w:p>
      <w:pPr>
        <w:spacing w:line="600" w:lineRule="exact"/>
        <w:ind w:firstLine="640" w:firstLineChars="200"/>
        <w:rPr>
          <w:rFonts w:hint="eastAsia" w:ascii="仿宋_GB2312" w:eastAsia="仿宋_GB2312"/>
        </w:rPr>
      </w:pPr>
      <w:r>
        <w:rPr>
          <w:rFonts w:hint="eastAsia" w:ascii="仿宋_GB2312" w:hAnsi="Times New Roman" w:eastAsia="仿宋_GB2312" w:cs="Times New Roman"/>
          <w:sz w:val="32"/>
          <w:szCs w:val="32"/>
        </w:rPr>
        <w:t>17　铅             34　矿泉水</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- 2 -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DEA15BB"/>
    <w:rsid w:val="005429BA"/>
    <w:rsid w:val="00A31CA3"/>
    <w:rsid w:val="00B24A1C"/>
    <w:rsid w:val="00E51336"/>
    <w:rsid w:val="00F01047"/>
    <w:rsid w:val="00FC4666"/>
    <w:rsid w:val="04982B38"/>
    <w:rsid w:val="07595DCA"/>
    <w:rsid w:val="07663387"/>
    <w:rsid w:val="0F3944DD"/>
    <w:rsid w:val="13134C2C"/>
    <w:rsid w:val="3DEA15BB"/>
    <w:rsid w:val="503A111E"/>
    <w:rsid w:val="5FD90100"/>
    <w:rsid w:val="661636A2"/>
    <w:rsid w:val="664F5CF3"/>
    <w:rsid w:val="67706337"/>
    <w:rsid w:val="76261949"/>
    <w:rsid w:val="7E9A08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833</Words>
  <Characters>4752</Characters>
  <Lines>39</Lines>
  <Paragraphs>11</Paragraphs>
  <TotalTime>1</TotalTime>
  <ScaleCrop>false</ScaleCrop>
  <LinksUpToDate>false</LinksUpToDate>
  <CharactersWithSpaces>5574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2019-05-22T14:19:00Z</dcterms:created>
  <dc:creator>Administrator</dc:creator>
  <cp:lastModifiedBy>Administrator</cp:lastModifiedBy>
  <cp:lastPrinted>2019-05-25T01:36:00Z</cp:lastPrinted>
  <dcterms:modified xsi:type="dcterms:W3CDTF">2023-06-05T09:14:22Z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