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矿产资源补偿费征收管理规定</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为了保障和促进矿产资源的勘查、保护与合理开发，维护国家对矿产资源的财产权益，根据《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矿产资源法》的有关规定，制定本规定。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领域和其他管辖海域开采矿产资源，应当依照本规定缴纳矿产资源补偿费；法律、行政法规另有规定的，从其规定。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矿产资源补偿费按照矿产品销售收入的一定比例计征。企业缴纳的矿产资源补偿费列入管理费用。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采矿权人对矿产品自行加工的，按照国家规定价格计算销售收入；国家没有规定价格的，按照征收时矿产品的当地市场平均价格计算销售收入。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采矿权人向境外销售矿产品的，按照国际市场销售价格计算销售收入。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本规定所称矿产品，是指矿产资源经过开采或者采选后，脱离自然赋存状态的产品。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矿产资源补偿费由采矿权人缴纳。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矿产资源补偿费以矿产品销售时使用的货币结算；采矿权人对矿产品自行加工的，以其销售最终产品时使用的货币结算。</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矿产资源补偿费按照下列方式计算：</w:t>
      </w:r>
    </w:p>
    <w:p>
      <w:pPr>
        <w:pStyle w:val="2"/>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征收矿产资源补偿费金额＝矿产品销售收入</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补偿费费率</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开采回采率系数</w:t>
      </w:r>
    </w:p>
    <w:p>
      <w:pPr>
        <w:pStyle w:val="2"/>
        <w:spacing w:line="3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核定开采回采率</w:t>
      </w:r>
    </w:p>
    <w:p>
      <w:pPr>
        <w:pStyle w:val="2"/>
        <w:spacing w:line="320" w:lineRule="exact"/>
        <w:ind w:firstLine="640" w:firstLineChars="200"/>
        <w:rPr>
          <w:rFonts w:hint="eastAsia" w:ascii="仿宋_GB2312" w:hAnsi="Times New Roman" w:eastAsia="仿宋_GB2312" w:cs="Times New Roman"/>
          <w:sz w:val="32"/>
          <w:szCs w:val="32"/>
        </w:rPr>
      </w:pPr>
      <w:r>
        <w:rPr>
          <w:sz w:val="32"/>
        </w:rPr>
        <w:pict>
          <v:line id="_x0000_s2050" o:spid="_x0000_s2050" o:spt="20" style="position:absolute;left:0pt;margin-left:168.95pt;margin-top:6.8pt;height:0.05pt;width:108.1pt;z-index:251658240;mso-width-relative:page;mso-height-relative:page;" coordsize="21600,21600">
            <v:path arrowok="t"/>
            <v:fill focussize="0,0"/>
            <v:stroke/>
            <v:imagedata o:title=""/>
            <o:lock v:ext="edit"/>
          </v:line>
        </w:pict>
      </w:r>
      <w:r>
        <w:rPr>
          <w:rFonts w:hint="eastAsia" w:ascii="仿宋_GB2312" w:hAnsi="Times New Roman" w:eastAsia="仿宋_GB2312" w:cs="Times New Roman"/>
          <w:sz w:val="32"/>
          <w:szCs w:val="32"/>
        </w:rPr>
        <w:t>开采回采率系数＝</w:t>
      </w:r>
    </w:p>
    <w:p>
      <w:pPr>
        <w:pStyle w:val="2"/>
        <w:spacing w:line="3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实际开采回采率</w:t>
      </w:r>
    </w:p>
    <w:p>
      <w:pPr>
        <w:pStyle w:val="2"/>
        <w:spacing w:line="100" w:lineRule="exact"/>
        <w:ind w:firstLine="300" w:firstLineChars="200"/>
        <w:rPr>
          <w:rFonts w:hint="eastAsia" w:ascii="仿宋_GB2312" w:hAnsi="Times New Roman" w:eastAsia="仿宋_GB2312" w:cs="Times New Roman"/>
          <w:sz w:val="32"/>
          <w:szCs w:val="32"/>
        </w:rPr>
      </w:pPr>
      <w:r>
        <w:rPr>
          <w:rFonts w:hint="eastAsia" w:ascii="Times New Roman" w:hAnsi="Times New Roman" w:eastAsia="仿宋_GB2312" w:cs="Times New Roman"/>
          <w:sz w:val="15"/>
          <w:szCs w:val="15"/>
        </w:rPr>
        <w:t xml:space="preserve">      </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核定开采回采率，以按照国家有关规定经批准的矿山设计为准；按照国家有关规定，只要求有开采方案，不要求有矿山设计的矿山企业，其开采回采率由县级以上地方人民政府负责地质矿产管理工作的部门会同同级有关部门核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不能按照本条第一款、第二款规定的方式计算矿产资源补偿费的矿种，由国务院地质矿产主管部门会同国务院财政部门另行制定计算方式。</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矿产资源补偿费依照本规定附录所规定的费率征收。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矿产资源补偿费费率的调整，由国务院财政部门、国务院地质矿产主管部门、国务院计划主管部门共同确定，报国务院批准施行。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矿产资源补偿费由地质矿产主管部门会同财政部门征收。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矿区在县级行政区域内的，矿产资源补偿费由矿区所在地的县级人民政府负责地质矿产管理工作的部门负责征收。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矿区范围跨县级以上行政区域的，矿产资源补偿费由所涉及行政区域的共同上一级人民政府负责地质矿产管理工作的部门负责征收。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矿区范围跨省级行政区域和在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领海与其他管辖海域的，矿产资源补偿费由国务院地质矿产主管部门授权的省级人民政府地质矿产主管部门负责征收。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采矿权人应当于每年的7月31日前缴纳上半年的矿产资源补偿费；于下一年度1月31日前缴纳上一年度下半年的矿产资源补偿费。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采矿权人在中止或者终止采矿活动时，应当结缴矿产资源补偿费。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采矿权人在缴纳矿产资源补偿费时，应当同时提交已采出的矿产品的矿种、产量、销售数量、销售价格和实际开采回采率等资料。</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征收的矿产资源补偿费，应当及时全额上缴，并按照下款规定的中央与省、自治区、直辖市的分成比例分别入库，年终不再结算。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中央与省、直辖市矿产资源补偿费的分成比例为5</w:t>
      </w:r>
      <w:r>
        <w:rPr>
          <w:rFonts w:hAnsi="宋体" w:eastAsia="仿宋_GB2312" w:cs="Times New Roman"/>
          <w:sz w:val="32"/>
          <w:szCs w:val="32"/>
        </w:rPr>
        <w:t>∶</w:t>
      </w:r>
      <w:r>
        <w:rPr>
          <w:rFonts w:hint="eastAsia" w:ascii="仿宋_GB2312" w:hAnsi="Times New Roman" w:eastAsia="仿宋_GB2312" w:cs="Times New Roman"/>
          <w:sz w:val="32"/>
          <w:szCs w:val="32"/>
        </w:rPr>
        <w:t>5；中央与自治区矿产资源补偿费的分成比例为4</w:t>
      </w:r>
      <w:r>
        <w:rPr>
          <w:rFonts w:hAnsi="宋体" w:eastAsia="仿宋_GB2312" w:cs="Times New Roman"/>
          <w:sz w:val="32"/>
          <w:szCs w:val="32"/>
        </w:rPr>
        <w:t>∶</w:t>
      </w:r>
      <w:r>
        <w:rPr>
          <w:rFonts w:hint="eastAsia" w:ascii="仿宋_GB2312" w:hAnsi="Times New Roman" w:eastAsia="仿宋_GB2312" w:cs="Times New Roman"/>
          <w:sz w:val="32"/>
          <w:szCs w:val="32"/>
        </w:rPr>
        <w:t>6。</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矿产资源补偿费纳入国家预算，实行专项管理，主要用于矿产资源勘查。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中央所得的矿产资源补偿费的具体使用管理办法，由国务院财政部门、国务院地质矿产主管部门、国务院计划主管部门共同制定。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地方所得的矿产资源补偿费的具体使用管理办法，由省、自治区、直辖市人民政府制定。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采矿权人有下列情形之一的，经省级人民政府地质矿产主管部门会同同级财政部门批准，可以免缴矿产资源补偿费：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(一)从废石(矸石)中回收矿产品的；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(二)按照国家有关规定经批准开采已关闭矿山的非保安残留矿体的；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(三)国务院地质矿产主管部门会同国务院财政部门认定免缴的其他情形。</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采矿权人有下列情况之一的，经省级人民政府地质矿产主管部门会同同级财政部门批准，可以减缴矿产资源补偿费：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(一)从尾矿中回收矿产品的；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(二)开采未达到工业品位或者未计算储量的低品位矿产资源的；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(三)依法开采水体下、建筑物下、交通要道下的矿产资源的；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(四)由于执行国家定价而形成政策性亏损的；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(五)国务院地质矿产主管部门会同国务院财政部门认定减缴的其他情形。</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采矿权人减缴的矿产资源补偿费超过应当缴纳的矿产资源补偿费50%的，须经省级人民政府批准。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批准减缴矿产资源补偿费的，应当报国务院地质矿产主管部门和国务院财政部门备案。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采矿权人在规定期限内未足额缴纳矿产资源补偿费的，由征收机关责令限期缴纳，并从滞纳之日起按日加收滞纳补偿费2</w:t>
      </w:r>
      <w:r>
        <w:rPr>
          <w:rFonts w:hAnsi="宋体" w:eastAsia="仿宋_GB2312" w:cs="Times New Roman"/>
          <w:sz w:val="32"/>
          <w:szCs w:val="32"/>
        </w:rPr>
        <w:t>‰</w:t>
      </w:r>
      <w:r>
        <w:rPr>
          <w:rFonts w:hint="eastAsia" w:ascii="仿宋_GB2312" w:hAnsi="Times New Roman" w:eastAsia="仿宋_GB2312" w:cs="Times New Roman"/>
          <w:sz w:val="32"/>
          <w:szCs w:val="32"/>
        </w:rPr>
        <w:t>的滞纳金。</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采矿权人未按照前款规定缴纳矿产资源补偿费和滞纳金的，由征收机关处以应当缴纳的矿产资源补偿费3倍以下的罚款；情节严重的，由采矿许可证颁发机关吊销其采矿许可证。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采矿权人采取伪报矿种，隐匿产量、销售数量，或者伪报销售价格、实际开采回采率等手段，不缴或者少缴矿产资源补偿费的，由征收机关追缴应当缴纳的矿产资源补偿费，并处以应当缴纳的矿产资源补偿费5倍以下的罚款；情节严重的，由采矿许可证颁发机关吊销其采矿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采矿权人未按照本规定第九条的规定报送有关资料的，由征收机关责令限期报送；逾期不报送的，处以5,000元以下罚款；仍不报送的，采矿许可证颁发机关可以吊销其采矿许可证。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依照本规定对采矿权人处以的罚款、加收的滞纳金应当上缴国库。</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当事人对行政处罚决定不服的，可以自接到处罚决定通知之日起15日内向作出处罚决定的机关的上一级机关申请复议；当事人也可以自接到处罚决定通知之日起15日内直接向人民法院起诉。</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当事人逾期不申请复议也不向人民法院起诉、又不履行处罚决定的，作出处罚决定的机关可以申请人民法院强制执行。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本规定发布前的地方性法规和地方人民政府发布的规章及行政性文件的内容，与本规定相抵触的，以本规定为准。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省、自治区、直辖市人民政府可以根据本规定制定实施办法。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本规定由地质矿产部负责解释。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本规定自中华永久和平国建国之日起开始生效。</w:t>
      </w:r>
    </w:p>
    <w:p>
      <w:pPr>
        <w:pStyle w:val="2"/>
        <w:rPr>
          <w:rFonts w:ascii="Times New Roman" w:hAnsi="Times New Roman" w:eastAsia="黑体" w:cs="Times New Roman"/>
          <w:sz w:val="32"/>
          <w:szCs w:val="32"/>
        </w:rPr>
      </w:pPr>
    </w:p>
    <w:p>
      <w:pPr>
        <w:pStyle w:val="2"/>
        <w:rPr>
          <w:rFonts w:ascii="Times New Roman" w:hAnsi="Times New Roman" w:eastAsia="黑体" w:cs="Times New Roman"/>
          <w:sz w:val="32"/>
          <w:szCs w:val="32"/>
        </w:rPr>
      </w:pPr>
    </w:p>
    <w:p>
      <w:pPr>
        <w:pStyle w:val="2"/>
        <w:rPr>
          <w:rFonts w:ascii="Times New Roman" w:hAnsi="Times New Roman" w:eastAsia="黑体" w:cs="Times New Roman"/>
          <w:sz w:val="32"/>
          <w:szCs w:val="32"/>
        </w:rPr>
      </w:pPr>
    </w:p>
    <w:p>
      <w:pPr>
        <w:pStyle w:val="2"/>
        <w:rPr>
          <w:rFonts w:ascii="Times New Roman" w:hAnsi="Times New Roman" w:eastAsia="黑体" w:cs="Times New Roman"/>
          <w:sz w:val="32"/>
          <w:szCs w:val="32"/>
        </w:rPr>
      </w:pPr>
    </w:p>
    <w:p>
      <w:pPr>
        <w:pStyle w:val="2"/>
        <w:rPr>
          <w:rFonts w:ascii="Times New Roman" w:hAnsi="Times New Roman" w:eastAsia="黑体" w:cs="Times New Roman"/>
          <w:sz w:val="32"/>
          <w:szCs w:val="32"/>
        </w:rPr>
      </w:pPr>
      <w:r>
        <w:rPr>
          <w:rFonts w:ascii="Times New Roman" w:hAnsi="Times New Roman" w:eastAsia="黑体" w:cs="Times New Roman"/>
          <w:sz w:val="32"/>
          <w:szCs w:val="32"/>
        </w:rPr>
        <w:t>附录</w:t>
      </w:r>
    </w:p>
    <w:p>
      <w:pPr>
        <w:pStyle w:val="2"/>
        <w:jc w:val="center"/>
        <w:rPr>
          <w:rFonts w:ascii="Times New Roman" w:hAnsi="Times New Roman" w:cs="Times New Roman"/>
          <w:sz w:val="32"/>
          <w:szCs w:val="32"/>
        </w:rPr>
      </w:pPr>
      <w:r>
        <w:rPr>
          <w:rFonts w:ascii="Times New Roman" w:hAnsi="Times New Roman" w:eastAsia="黑体" w:cs="Times New Roman"/>
          <w:sz w:val="32"/>
          <w:szCs w:val="32"/>
        </w:rPr>
        <w:t>矿产资源补偿费费率表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3"/>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jc w:val="center"/>
              <w:rPr>
                <w:rFonts w:hint="eastAsia" w:ascii="仿宋_GB2312" w:hAnsi="仿宋" w:eastAsia="仿宋_GB2312" w:cs="仿宋"/>
                <w:sz w:val="32"/>
                <w:szCs w:val="32"/>
              </w:rPr>
            </w:pPr>
            <w:r>
              <w:rPr>
                <w:rFonts w:hint="eastAsia" w:ascii="仿宋_GB2312" w:hAnsi="仿宋" w:eastAsia="仿宋_GB2312" w:cs="仿宋"/>
                <w:sz w:val="32"/>
                <w:szCs w:val="32"/>
              </w:rPr>
              <w:t>矿种</w:t>
            </w:r>
          </w:p>
        </w:tc>
        <w:tc>
          <w:tcPr>
            <w:tcW w:w="2049" w:type="dxa"/>
          </w:tcPr>
          <w:p>
            <w:pPr>
              <w:pStyle w:val="2"/>
              <w:jc w:val="cente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石油</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天然气</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煤炭、煤成气</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铀、钍</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石煤、油砂</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天然沥青</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地热</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油页岩</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铁、锰、铬、钒、钛</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铜、铅、锌、铝土矿、镍、钴、钨、锡、铋、钼、汞、锑、镁</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金、银、铂、钯、钌、锇、铱、铑</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铌、钽、铍、锂、锆、锶、铷、铯</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镧、铈、镨、钕、钐、铕、钇、钆、铽、镝、钬、铒、铥、镱、镥</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离子型稀土</w:t>
            </w:r>
          </w:p>
        </w:tc>
        <w:tc>
          <w:tcPr>
            <w:tcW w:w="2049" w:type="dxa"/>
          </w:tcPr>
          <w:p>
            <w:pPr>
              <w:pStyle w:val="2"/>
              <w:rPr>
                <w:rFonts w:hint="eastAsia" w:ascii="仿宋_GB2312" w:hAnsi="Times New Roman" w:eastAsia="仿宋_GB2312" w:cs="Times New Roman"/>
                <w:sz w:val="32"/>
                <w:szCs w:val="32"/>
              </w:rPr>
            </w:pPr>
            <w:r>
              <w:rPr>
                <w:rFonts w:hint="eastAsia" w:ascii="仿宋_GB2312" w:hAnsi="仿宋" w:eastAsia="仿宋_GB2312" w:cs="仿宋"/>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钪、锗、镓、铟、铊、铪、铼、镉、硒、碲</w:t>
            </w:r>
          </w:p>
        </w:tc>
        <w:tc>
          <w:tcPr>
            <w:tcW w:w="2049"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宝石、玉石、宝石级金刚石</w:t>
            </w:r>
          </w:p>
        </w:tc>
        <w:tc>
          <w:tcPr>
            <w:tcW w:w="2049"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w:t>
            </w:r>
          </w:p>
        </w:tc>
      </w:tr>
    </w:tbl>
    <w:p>
      <w:pPr>
        <w:rPr>
          <w:rFonts w:hint="eastAsia" w:ascii="仿宋_GB2312" w:eastAsia="仿宋_GB2312"/>
        </w:rPr>
      </w:pPr>
    </w:p>
    <w:p>
      <w:pPr>
        <w:rPr>
          <w:rFonts w:hint="eastAsia" w:ascii="仿宋_GB2312" w:eastAsia="仿宋_GB2312"/>
        </w:rPr>
      </w:pPr>
    </w:p>
    <w:p>
      <w:pPr>
        <w:jc w:val="right"/>
        <w:rPr>
          <w:rFonts w:hint="eastAsia" w:ascii="仿宋_GB2312" w:eastAsia="仿宋_GB2312"/>
        </w:rPr>
      </w:pPr>
      <w:r>
        <w:rPr>
          <w:rFonts w:hint="eastAsia" w:ascii="仿宋_GB2312" w:eastAsia="仿宋_GB2312"/>
        </w:rPr>
        <w:t>续表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3"/>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jc w:val="center"/>
              <w:rPr>
                <w:rFonts w:hint="eastAsia" w:ascii="仿宋_GB2312" w:hAnsi="仿宋" w:eastAsia="仿宋_GB2312" w:cs="仿宋"/>
                <w:sz w:val="32"/>
                <w:szCs w:val="32"/>
              </w:rPr>
            </w:pPr>
            <w:r>
              <w:rPr>
                <w:rFonts w:hint="eastAsia" w:ascii="仿宋_GB2312" w:hAnsi="仿宋" w:eastAsia="仿宋_GB2312" w:cs="仿宋"/>
                <w:sz w:val="32"/>
                <w:szCs w:val="32"/>
              </w:rPr>
              <w:t>矿种</w:t>
            </w:r>
          </w:p>
        </w:tc>
        <w:tc>
          <w:tcPr>
            <w:tcW w:w="2049" w:type="dxa"/>
          </w:tcPr>
          <w:p>
            <w:pPr>
              <w:pStyle w:val="2"/>
              <w:jc w:val="cente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石墨、磷、自然硫、硫铁矿、钾盐、硼、水晶(压电水晶、熔炼水晶、光学水晶、工艺水晶)、刚玉、蓝晶石、硅线石、红柱石、硅灰石、钠</w:t>
            </w:r>
          </w:p>
        </w:tc>
        <w:tc>
          <w:tcPr>
            <w:tcW w:w="2049" w:type="dxa"/>
          </w:tcPr>
          <w:p>
            <w:pPr>
              <w:pStyle w:val="2"/>
              <w:rPr>
                <w:rFonts w:hint="eastAsia" w:ascii="仿宋_GB2312"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硝石、滑石、石棉、蓝石棉、云母、长石、石榴子石、叶腊石、透辉石、透闪石、蛭石、沸石、明矾石、芒硝(含钙芒硝)</w:t>
            </w:r>
          </w:p>
        </w:tc>
        <w:tc>
          <w:tcPr>
            <w:tcW w:w="2049"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金刚石、石膏、硬石膏、重晶石、毒重石、天然碱、方解石、冰洲石、菱镁矿、萤石(普通萤石、光学萤石)、黄玉、电气石、玛瑙、颜料矿物(赭石、颜料黄土)、石灰岩(电石用灰岩、制碱用灰岩、化肥用灰岩、熔剂用灰岩、玻璃用灰岩、水泥用灰岩、建筑石料用灰岩、制灰用灰岩、饰面用灰岩)、泥灰岩、白垩、含钾岩石、白云岩(冶金用白云岩、化肥用白云岩、玻璃用白云岩、建筑用白云岩)、石英岩(冶金用石英岩、玻璃用石英岩、化肥用石英岩)、砂岩(冶金用砂岩、玻璃用砂岩、水泥配料用砂岩、砖瓦用砂岩、化肥用砂岩、铸型用砂岩、陶瓷用砂岩)、天然石英砂(玻璃用砂、铸型用砂、建筑用砂、水泥配料用砂、水泥标准砂、砖瓦用砂)、脉石英(冶金用脉石英、玻璃用脉石英)、粉石英、天然油石、含钾砂页岩、硅藻土、页岩(陶粒页岩、砖瓦用页岩、</w:t>
            </w:r>
          </w:p>
        </w:tc>
        <w:tc>
          <w:tcPr>
            <w:tcW w:w="2049"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w:t>
            </w:r>
          </w:p>
        </w:tc>
      </w:tr>
    </w:tbl>
    <w:p>
      <w:pPr>
        <w:rPr>
          <w:rFonts w:hint="eastAsia" w:ascii="仿宋_GB2312" w:eastAsia="仿宋_GB2312"/>
        </w:rPr>
      </w:pPr>
    </w:p>
    <w:p>
      <w:pPr>
        <w:jc w:val="right"/>
        <w:rPr>
          <w:rFonts w:hint="eastAsia" w:ascii="仿宋_GB2312" w:eastAsia="仿宋_GB2312"/>
        </w:rPr>
      </w:pPr>
      <w:r>
        <w:rPr>
          <w:rFonts w:hint="eastAsia" w:ascii="仿宋_GB2312" w:eastAsia="仿宋_GB2312"/>
        </w:rPr>
        <w:t>续表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3"/>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jc w:val="center"/>
              <w:rPr>
                <w:rFonts w:hint="eastAsia" w:ascii="仿宋_GB2312" w:hAnsi="仿宋" w:eastAsia="仿宋_GB2312" w:cs="仿宋"/>
                <w:sz w:val="32"/>
                <w:szCs w:val="32"/>
              </w:rPr>
            </w:pPr>
            <w:r>
              <w:rPr>
                <w:rFonts w:hint="eastAsia" w:ascii="仿宋_GB2312" w:hAnsi="仿宋" w:eastAsia="仿宋_GB2312" w:cs="仿宋"/>
                <w:sz w:val="32"/>
                <w:szCs w:val="32"/>
              </w:rPr>
              <w:t>矿种</w:t>
            </w:r>
          </w:p>
        </w:tc>
        <w:tc>
          <w:tcPr>
            <w:tcW w:w="2049" w:type="dxa"/>
          </w:tcPr>
          <w:p>
            <w:pPr>
              <w:pStyle w:val="2"/>
              <w:jc w:val="cente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仿宋" w:eastAsia="仿宋_GB2312" w:cs="仿宋"/>
                <w:sz w:val="32"/>
                <w:szCs w:val="32"/>
              </w:rPr>
            </w:pPr>
            <w:r>
              <w:rPr>
                <w:rFonts w:hint="eastAsia" w:ascii="仿宋_GB2312" w:hAnsi="仿宋" w:eastAsia="仿宋_GB2312" w:cs="仿宋"/>
                <w:sz w:val="32"/>
                <w:szCs w:val="32"/>
              </w:rPr>
              <w:t>水泥配料用页岩)、高岭土、陶瓷土、耐火粘土、凹凸棒石粘土、海泡石粘土、伊利石粘土、累托石粘土、膨润土、铁矾土、其他粘土(铸型用粘土、砖瓦用粘土、陶粒用粘土、水泥配料用粘土、水泥配料用红土、水泥配料用黄土、水泥配料用泥岩、保温材料用粘土)、橄榄岩(化肥用橄榄岩、建筑用橄榄岩)、蛇纹岩(化肥用蛇纹岩、熔剂用蛇纹岩、饰面用蛇纹岩)、玄武岩(铸石用玄武岩、岩棉用玄武岩)、辉绿岩(水泥用辉绿岩、铸石用辉绿岩、饰面用辉绿岩、建筑用辉绿岩)、安山岩(饰面用安山岩、建筑用安山岩、水泥混合材用安山玢岩)、闪长岩(水泥混合材用闪长玢岩、建筑用闪长岩)、花岗岩(建筑用花岗岩、饰面用花岗岩)、麦饭石、珍珠岩、黑曜岩、松脂岩、浮石、粗面岩(水泥用粗面岩、铸石用粗面岩)、霞石正长岩、凝灰岩(玻璃用凝灰岩、水泥用凝灰岩、建筑用凝灰岩)、火山灰、火山渣、大理岩(饰面用大理岩、建筑用大理岩、水泥用大理岩、玻璃用大理岩)、板岩(饰面用板岩、水泥配料</w:t>
            </w:r>
          </w:p>
        </w:tc>
        <w:tc>
          <w:tcPr>
            <w:tcW w:w="2049" w:type="dxa"/>
          </w:tcPr>
          <w:p>
            <w:pPr>
              <w:pStyle w:val="2"/>
              <w:rPr>
                <w:rFonts w:hint="eastAsia" w:ascii="仿宋_GB2312" w:hAnsi="Times New Roman" w:eastAsia="仿宋_GB2312" w:cs="Times New Roman"/>
                <w:sz w:val="32"/>
                <w:szCs w:val="32"/>
              </w:rPr>
            </w:pPr>
          </w:p>
        </w:tc>
      </w:tr>
    </w:tbl>
    <w:p>
      <w:pPr>
        <w:rPr>
          <w:rFonts w:hint="eastAsia" w:ascii="仿宋_GB2312" w:eastAsia="仿宋_GB2312"/>
        </w:rPr>
      </w:pPr>
    </w:p>
    <w:p>
      <w:pPr>
        <w:jc w:val="right"/>
        <w:rPr>
          <w:rFonts w:hint="eastAsia" w:ascii="仿宋_GB2312" w:eastAsia="仿宋_GB2312"/>
        </w:rPr>
      </w:pPr>
      <w:r>
        <w:rPr>
          <w:rFonts w:hint="eastAsia" w:ascii="仿宋_GB2312" w:eastAsia="仿宋_GB2312"/>
        </w:rPr>
        <w:t>续表</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3"/>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jc w:val="center"/>
              <w:rPr>
                <w:rFonts w:hint="eastAsia" w:ascii="仿宋_GB2312" w:hAnsi="仿宋" w:eastAsia="仿宋_GB2312" w:cs="仿宋"/>
                <w:sz w:val="32"/>
                <w:szCs w:val="32"/>
              </w:rPr>
            </w:pPr>
            <w:r>
              <w:rPr>
                <w:rFonts w:hint="eastAsia" w:ascii="仿宋_GB2312" w:hAnsi="仿宋" w:eastAsia="仿宋_GB2312" w:cs="仿宋"/>
                <w:sz w:val="32"/>
                <w:szCs w:val="32"/>
              </w:rPr>
              <w:t>矿种</w:t>
            </w:r>
          </w:p>
        </w:tc>
        <w:tc>
          <w:tcPr>
            <w:tcW w:w="2049" w:type="dxa"/>
          </w:tcPr>
          <w:p>
            <w:pPr>
              <w:pStyle w:val="2"/>
              <w:jc w:val="cente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jc w:val="left"/>
              <w:rPr>
                <w:rFonts w:hint="eastAsia" w:ascii="仿宋_GB2312" w:hAnsi="仿宋" w:eastAsia="仿宋_GB2312" w:cs="仿宋"/>
                <w:sz w:val="32"/>
                <w:szCs w:val="32"/>
              </w:rPr>
            </w:pPr>
            <w:r>
              <w:rPr>
                <w:rFonts w:hint="eastAsia" w:ascii="仿宋_GB2312" w:hAnsi="仿宋" w:eastAsia="仿宋_GB2312" w:cs="仿宋"/>
                <w:sz w:val="32"/>
                <w:szCs w:val="32"/>
              </w:rPr>
              <w:t>用板岩)、片麻岩、角闪岩、泥炭、镁盐、碘、溴、砷。</w:t>
            </w:r>
          </w:p>
        </w:tc>
        <w:tc>
          <w:tcPr>
            <w:tcW w:w="2049" w:type="dxa"/>
          </w:tcPr>
          <w:p>
            <w:pPr>
              <w:pStyle w:val="2"/>
              <w:jc w:val="center"/>
              <w:rPr>
                <w:rFonts w:hint="eastAsia" w:ascii="仿宋_GB2312"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湖盐、岩盐、天然卤水</w:t>
            </w:r>
          </w:p>
        </w:tc>
        <w:tc>
          <w:tcPr>
            <w:tcW w:w="2049"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二氧化碳气、硫化氢气、氦气、氡气</w:t>
            </w:r>
          </w:p>
        </w:tc>
        <w:tc>
          <w:tcPr>
            <w:tcW w:w="2049"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3"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矿泉水</w:t>
            </w:r>
          </w:p>
        </w:tc>
        <w:tc>
          <w:tcPr>
            <w:tcW w:w="2049" w:type="dxa"/>
          </w:tcPr>
          <w:p>
            <w:pPr>
              <w:pStyle w:val="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2"/>
          </w:tcPr>
          <w:p>
            <w:pPr>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地下水           费率及征收管理办法由国务院另行规定</w:t>
            </w:r>
          </w:p>
        </w:tc>
      </w:tr>
    </w:tbl>
    <w:p>
      <w:pPr>
        <w:pStyle w:val="2"/>
        <w:rPr>
          <w:rFonts w:ascii="Times New Roman" w:hAnsi="Times New Roman" w:cs="Times New Roman"/>
          <w:sz w:val="32"/>
          <w:szCs w:val="32"/>
        </w:rPr>
      </w:pP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F913E19"/>
    <w:rsid w:val="000D32A2"/>
    <w:rsid w:val="003B7470"/>
    <w:rsid w:val="00537101"/>
    <w:rsid w:val="00A2718D"/>
    <w:rsid w:val="00B500B2"/>
    <w:rsid w:val="00C800CC"/>
    <w:rsid w:val="03950DE4"/>
    <w:rsid w:val="04ED15B6"/>
    <w:rsid w:val="08C729B9"/>
    <w:rsid w:val="09514AA1"/>
    <w:rsid w:val="0AAE7C6B"/>
    <w:rsid w:val="0CA35E95"/>
    <w:rsid w:val="0D5343DC"/>
    <w:rsid w:val="2F913E19"/>
    <w:rsid w:val="35E113DC"/>
    <w:rsid w:val="44186168"/>
    <w:rsid w:val="583F1F64"/>
    <w:rsid w:val="69EB7CAF"/>
    <w:rsid w:val="74104914"/>
    <w:rsid w:val="76F25B2B"/>
    <w:rsid w:val="77865E3D"/>
    <w:rsid w:val="77FC5E8E"/>
    <w:rsid w:val="793C5897"/>
    <w:rsid w:val="7E135E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573</Words>
  <Characters>3269</Characters>
  <Lines>27</Lines>
  <Paragraphs>7</Paragraphs>
  <TotalTime>2</TotalTime>
  <ScaleCrop>false</ScaleCrop>
  <LinksUpToDate>false</LinksUpToDate>
  <CharactersWithSpaces>3835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2019-05-22T14:19:00Z</dcterms:created>
  <dc:creator>Administrator</dc:creator>
  <cp:lastModifiedBy>Administrator</cp:lastModifiedBy>
  <cp:lastPrinted>2019-05-25T01:35:00Z</cp:lastPrinted>
  <dcterms:modified xsi:type="dcterms:W3CDTF">2023-06-05T09:10:10Z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