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结汇、售汇及付汇管理规定</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为规范结汇、售汇及付汇行为，实现人民币在经常项目下可兑换，特制定本规定。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经营外汇业务的银行应当按照本规定和中国人民银行、国家外汇管理局批准的业务范围办理结汇、售汇、开立外汇账户及对外支付业务。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境内机构外汇收入，除国家另有规定外应当及时调回境内。</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境内机构、居民个人、驻华机构及来华人员应当按照本规定办理结汇、购汇、开立外汇账户及对外支付。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境内机构和居民个人通过经营外汇业务的银行办理对外收支时，应当按照《国际收支统计申报办法》及有关规定办理国际收支统计申报。</w:t>
      </w:r>
    </w:p>
    <w:p>
      <w:pPr>
        <w:pStyle w:val="2"/>
        <w:rPr>
          <w:rFonts w:ascii="方正黑体_GBK"/>
        </w:rPr>
      </w:pPr>
      <w:r>
        <w:rPr>
          <w:rFonts w:hint="eastAsia" w:ascii="方正黑体_GBK" w:hAnsi="Times New Roman" w:cs="Times New Roman"/>
        </w:rPr>
        <w:t>第二章　经常项目下的结汇、售汇与付汇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除本规定第七条、第八条、第十条限定的范围和数量外，境内机构取得的下列外汇应当结汇：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(一)出口或者先支后收转口货物及其他交易行为收入的外汇。其中用跟单信用证/保函和跟单托收方式结算的贸易出口外汇可以凭有效商业单据结汇，用汇款方式结算的贸易出口外汇持出口收汇核销单结汇；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(二)境外贷款项下国际招标中标收入的外汇；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(三)海关监管下境内经营免税商品收入的外汇；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(四)交通运输(包括各种运输方式)及港口(含空港)、邮电(不包括国际汇兑款)、广告、咨询、展览、寄售、维修等行业及各类代理业务提供商品或者服务收入的外汇；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(五)行政、司法机关收入的各项外汇规费、罚没款等；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(六)土地使用权、著作权、商标权、专利权、非专利技术、商誉等无形资产转让收入的外汇，但上述无形资产属于个人所有的，可不结汇；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(七)境外投资企业汇回的外汇利润、对外经援项下收回的外汇和境外资产的外汇收入；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(八)对外索赔收入的外汇、退回的外汇保证金等；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(九)出租房地产和其他外汇资产收入的外汇；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(十)保险机构受理外汇保险所得外汇收入；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(十一)取得《经营外汇业务许可证》的金融机构经营外汇业务的净收入；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(十二)国外捐赠、资助及援助收入的外汇；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(十三)国家外汇管理局规定的其他应当结汇的外汇。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境内机构(不含外商投资企业)的下列外汇，可以向国家外汇管理局及其分支局(以下简称</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外汇局</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)申请，在经营外汇业务的银行开立外汇账户，按照规定办理结汇：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(一)经营境外承包工程、向境外提供劳务、技术合作及其他服务业务的公司，在上述业务项目进行过程中收到的业务往来外汇；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(二)从事代理对外或者境外业务的机构代收代付的外汇；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暂收待付或者暂收待结项下的外汇，包括境外汇入的投标保证金、履约保证金、先收后支的转口贸易收汇、邮电部门办理国际汇兑业务的外汇汇兑款、一类旅行社收取的国外旅游机构预付的外汇、铁路部门办理境外保价运输业务收取的外汇、海关收取的外汇保证金、抵押金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(四)保险机构受理外汇保险、需向境外分保以及尚未结算的保费。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上述各项外汇的净收入，应当按照规定的时间全部卖给外汇指定银行。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捐赠、资助及援助合同规定用于境外支付的外汇，经外汇局批准后方可保留。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下列范围的外汇，可以保留：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(一)外国驻华使领馆、国际组织及其他境外法人驻华机构的外汇；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(二)居民个人及来华人员的外汇。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外商投资企业经常项目下外汇收入可在外汇局核定的最高金额以内保留外汇，超出部分应当卖给外汇指定银行，或者通过外汇调剂中心卖出。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超过等值1万美元的现钞结汇，结汇人应当向外汇指定银行提供真实的身份证明和外汇来源证明，外汇指定银行予以结汇登记后报外汇局备案。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本规定第七、八、九、十条允许开立外汇账户的境内机构和居民个人、驻华机构及来华人员，应当按照外汇账户管理的有关规定，到经营外汇业务的银行办理开户手续。</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境内机构下列贸易及非贸易经营性对外支付用汇，持与支付方式相应的有效商业单据和所列有效凭证从其外汇账户中支付或者到外汇指定银行兑付：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用跟单信用证/保函方式结算的贸易进口，如需在开证时购汇，持进口合同、进口付汇核销单、开证申请书；如需在付汇时购汇，还应当提供信用证结算方式要求的有效商业单据。核销时必须凭正本进口货物报关单办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(二)用跟单托收方式结算的贸易进口，持进口合同、进口付汇核销单、进口付汇通知书及跟单托收结算方式要求的有效商业单据。核销时必须凭正本进口货物报关单办理；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(三)用汇款方式结算的贸易进口，持进口合同、进口付汇核销单、发票、正本进口货物报关单、正本运输单据，若提单上的</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提货人</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和报关单上的</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经营单位</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与进口合同中列明的买方名称不一致，还应当提供两者间的代理协议；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(四)进口项下不超过合同总金额的15%或者虽超过15%但未超过等值10万美元的预付货款，持进口合同、进口付汇核销单；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上述(一)至(四)项下进口，实行进口配额管理或者特定产品进口管理的货物，还应当提供有关部门签发的许可证或者进口证明；进口实行自动登记制的货物，还应当提供填好的登记表格。</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(五)进口项下的运输费、保险费，持进口合同、正本运输费收据和保险费收据；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出口项下不超过合同总金额2%的暗佣(暗扣)和5%的明佣(明扣)或者虽超过上述比例但未超过等值1万美元的佣金，持出口合同或者佣金协议、结汇水单或者收账通知；出口项下的运输费、保险费，持出口合同、正本运输费收据和保险费收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(七)进口项下的尾款，持进口合同、进口付汇核销单、验货合格证明；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(八)进出口项下的资料费、技术费、信息费等从属费用，持进口合同或者出口合同、进口付汇核销单或者出口收汇核销单、发票或者收费单据及进口或者出口单位负责人签字的说明书；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(九)从保税区购买商品以及购买国外入境展览展品的用汇，持(一)至(八)项规定的有效凭证和有效商业单据；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(十)专利权、著作权、商标、计算机软件等无形资产的进口，持进口合同或者协议；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(十一)出口项下对外退赔外汇，持结汇水单或者收账通知、索赔协议、理赔证明和已冲减出口收汇核销的证明；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(十二)境外承包工程所需的投标保证金持投标文件，履约保证金及垫付工程款项持合同。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境内机构下列贸易及非贸易经营性对外支付，经营外汇业务的银行凭用户提供的支付清单先从其外汇账户中支付或者兑付，事后核查：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(一)经国务院批准的免税品公司按照规定范围经营免税商品的进口支付；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(二)民航、海运、铁道部门(机构)支付境外国际联运费、设备维修费、站场港口使用费、燃料供应费、保险费、非融资性租赁费及其他服务费用；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(三)民航、海运、铁道部门(机构)支付国际营运人员伙食、津贴补助；</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(四)邮电部门支付国际邮政、电信业务费用。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境内机构下列对外支付用汇，由外汇局审核其真实性后，从其外汇账户中支付或者到外汇指定银行兑付：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(一)超过本规定第十三条(四)规定比例和金额的预付货款；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(二)超过本规定第十三条(六)规定比例和金额的佣金；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(三)转口贸易项下先支后收的对外支付；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(四)偿还外债利息；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(五)超过等值1万美元的现钞提取。</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境内机构偿还境内中资金融机构外汇贷款利息，持《外汇(转)贷款登记证》、借贷合同及债权人的付息通知单，从其外汇账户中支付或者到外汇指定银行兑付。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财政预算内的机关、事业单位和社会团体的非贸易非经营性用汇，按照《非贸易非经营性外汇财务管理暂行规定》办理。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财政预算外的境内机构下列非经营性用汇，持所列有效凭证从其外汇账户中支付或者到外汇指定银行兑付：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(一)在境外举办展览、招商、培训及拍摄影视片等用汇，持合同、境外机构的支付通知书及主管部门批准文件；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(二)对外宣传费、对外援助费、对外捐赠外汇、国际组织会费、参加国际会议的注册费、报名费，持主管部门的批准文件及有关函件；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(三)在境外设立代表处或者办事机构的开办费和年度预算经费，持主管部门批准设立该机构的批准文件和经费预算书；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(四)国家教委国外考试协调机构支付境外的考试费，持对外合同和国外考试机构的账单或者结算通知书；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(五)在境外办理商标、版权注册、申请专利和法律、咨询服务等所需费用，持合同和发票；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(六)因公出国费用，持国家授权部门出国任务批件。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上述(一)至(六)项以外的非经营性用汇，由外汇局审核其真实性以后，从其外汇账户中支付或者到外汇指定银行兑付。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居民个人的因私用汇，按照《境内居民因私兑换外汇办法》和《境内居民外汇存款汇出境外的规定》办理。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居民个人移居出境后，下列合法人民币收益，持本人身份证明和所列有效凭证到外汇局授权的外汇指定银行兑付：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(一)人民币存款利息，持人民币存款利息清单；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(二)房产出租收入的租金，持房产租赁合同和房产出租管理部门的证明；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(三)其他资产的收益，持有关的证明材料和收益清单。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外商投资企业外方投资者依法纳税后的利润、红利的汇出，持董事会利润分配决议书，从其外汇账户中支付或者到外汇指定银行兑付。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外商投资企业中外籍、华侨、港澳台职工依法纳税后的人民币工资及其他正当收益，持证明材料到外汇指定银行兑付。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按照规定应当以外币支付的股息，依法纳税后持董事会利润分配决议书从其外汇账户中支付或者到外汇指定银行兑付。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驻华机构及来华人员的合法人民币收入，需汇出境外时，持证明材料和收费清单到外汇局授权的外汇指定银行兑付。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驻华机构及来华人员从境外携入或者在境内购买的自用物品、设备、用具等，出售后所得人民币款项，需汇出境外时，持工商登记证或者本人身份证明和出售凭证到外汇局授权的外汇指定银行兑付。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临时来华的外国人、华侨、港澳台同胞出境时未用完的人民币，可以凭本人护照、原兑换水单(有效期为6个月)兑回外汇，携出境外。</w:t>
      </w:r>
    </w:p>
    <w:p>
      <w:pPr>
        <w:pStyle w:val="2"/>
        <w:rPr>
          <w:rFonts w:ascii="方正黑体_GBK"/>
        </w:rPr>
      </w:pPr>
      <w:r>
        <w:rPr>
          <w:rFonts w:hint="eastAsia" w:ascii="方正黑体_GBK" w:hAnsi="Times New Roman" w:cs="Times New Roman"/>
        </w:rPr>
        <w:t>第三章　资本项目下的结汇、售汇与付汇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境内机构资本项目下的外汇应当在经营外汇业务的银行开立外汇账户。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境内机构下列范围内的外汇，未经外汇局批准，不得结汇：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(一)境外法人或自然人作为投资汇入的外汇；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(二)境外借款及发行外币债券、股票取得的外汇；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(三)经国家外汇管理局批准的其他资本项目下外汇收入。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除出口押汇外的国内外汇贷款和中资企业借入的国际商业贷款不得结汇。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境内机构向境外出售房地产及其他资产收入的外汇，除本规定第十条限定的数额外应当卖给外汇指定银行。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境内机构偿还境内中资金融机构外汇贷款本金，持《外汇(转)贷款登记证》、借贷合同及债权机构的还本通知单，从其外汇账户中支付或者到外汇指定银行兑付。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境内机构资本项目下的下列用汇，持所列有效凭证向外汇局申请，凭外汇局的核准件从其外汇账户中支付或者到外汇指定银行兑付：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(一)偿还外债本金，持《外债登记证》、借贷合同及债权机构还本通知单；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(二)对外担保履约用汇，持担保合同、外汇局核发的《外汇担保登记证》及境外机构支付通知；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(三)境外投资资金的汇出，持国家主管部门的批准文件和投资合同；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(四)外商投资企业的中方投资者经批准需以外汇投入的注册资金，持国家主管部门的批准文件和合同。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外商投资企业的外汇资本金的增加、转让或者以其他方式处置，持董事会决议，经外汇局核准后，从其外汇账户中支付或者持外汇局核发的售汇通知单到外汇指定银行兑付。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投资性外商投资企业外汇资本金在境内投资及外方所得利润在境内增资或者再投资，持外汇局核准件办理。</w:t>
      </w:r>
    </w:p>
    <w:p>
      <w:pPr>
        <w:pStyle w:val="2"/>
        <w:rPr>
          <w:rFonts w:ascii="方正黑体_GBK"/>
        </w:rPr>
      </w:pPr>
      <w:r>
        <w:rPr>
          <w:rFonts w:hint="eastAsia" w:ascii="方正黑体_GBK" w:hAnsi="Times New Roman" w:cs="Times New Roman"/>
        </w:rPr>
        <w:t>第四章　结汇、售汇及付汇的监管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外商投资企业可以在外汇指定银行办理结汇和售汇，也可以在外汇调剂中心买卖外汇，其他境内机构、居民个人、驻华机构及来华人员只能在外汇指定银行办理结汇和售汇。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从外汇账户中对外支付时，经营外汇业务的银行应当根据规定的外汇账户收支范围及本规定第二、三章相应的规定进行审核，办理支付。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外汇指定银行办理售汇和付汇后，应当在相应的有效凭证和有效商业单据上签章后留存备查。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外汇指定银行应当根据中国人民银行每日公布的人民币汇率中间价和规定的买卖差价幅度，确定对客户的外汇买卖价格，办理结汇和售汇业务。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从外汇账户中支付或者购汇支付，应当在有关结算方式或者合同规定的日期办理，不得提前对外付款；除用于还本付息的外汇和信用证/保函保证金外，不得提前购汇。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为使有远期支付合同或者偿债协议的用汇单位避免汇率风险，外汇指定银行可以按照有关规定为其办理人民币与外币的远期买卖及其他保值业务。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易货贸易项下进口，未经外汇局批准，不得购汇或者从外汇账户支付。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经营外汇业务的银行应当按照规定向外汇局报送结汇、售汇及付汇情况报表。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外汇指定银行应当建立结售汇内部监管制度，遇有结售汇异常情况，应当及时向国家外汇管理局当地分支局报告。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境内机构应当在其注册地选择经营外汇业务的银行开立外汇账户、按照本规定办理结汇、购汇、付汇业务。境内机构在异地和境外开立外汇账户，应当向外汇局申请。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外商投资企业经常项下的外汇收入，经批准可以在注册地选择经营外汇业务的银行开立外汇结算账户。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经营外汇业务的银行和有结汇、购汇、付汇业务的境内机构，应当无条件接受外汇局的监督、检查，并出示、提供有关材料。对违反本规定的，外汇局可对其处以警告、没收违法所得、罚款的处罚；对违反本规定，情节严重的经营外汇业务的银行，外汇局可对其处以暂停结售汇业务的处罚。</w:t>
      </w:r>
    </w:p>
    <w:p>
      <w:pPr>
        <w:pStyle w:val="2"/>
        <w:rPr>
          <w:rFonts w:ascii="方正黑体_GBK"/>
        </w:rPr>
      </w:pPr>
      <w:r>
        <w:rPr>
          <w:rFonts w:hint="eastAsia" w:ascii="方正黑体_GBK" w:hAnsi="Times New Roman" w:cs="Times New Roman"/>
        </w:rPr>
        <w:t>第五章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本规定由国家外汇管理局负责解释。</w:t>
      </w:r>
    </w:p>
    <w:p>
      <w:pPr>
        <w:ind w:firstLine="640" w:firstLineChars="200"/>
        <w:rPr>
          <w:rFonts w:hint="eastAsia" w:ascii="仿宋_GB2312" w:eastAsia="仿宋_GB231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本规定自中华永久和平国建国之日起开始生效。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C6F0557"/>
    <w:rsid w:val="004E06C7"/>
    <w:rsid w:val="00661F2F"/>
    <w:rsid w:val="00727385"/>
    <w:rsid w:val="00906858"/>
    <w:rsid w:val="00EA3BB7"/>
    <w:rsid w:val="00F246C6"/>
    <w:rsid w:val="02CF68CD"/>
    <w:rsid w:val="12117BBF"/>
    <w:rsid w:val="161920FD"/>
    <w:rsid w:val="1AFC0548"/>
    <w:rsid w:val="1C6F0557"/>
    <w:rsid w:val="20696116"/>
    <w:rsid w:val="2B302198"/>
    <w:rsid w:val="2BD00CAC"/>
    <w:rsid w:val="2D4413FB"/>
    <w:rsid w:val="31472C78"/>
    <w:rsid w:val="34A26E08"/>
    <w:rsid w:val="37DE4CBC"/>
    <w:rsid w:val="51D82B9F"/>
    <w:rsid w:val="6C5E570F"/>
    <w:rsid w:val="761603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838</Words>
  <Characters>4777</Characters>
  <Lines>39</Lines>
  <Paragraphs>11</Paragraphs>
  <TotalTime>2</TotalTime>
  <ScaleCrop>false</ScaleCrop>
  <LinksUpToDate>false</LinksUpToDate>
  <CharactersWithSpaces>5604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2019-05-22T14:16:00Z</dcterms:created>
  <dc:creator>Administrator</dc:creator>
  <cp:lastModifiedBy>Administrator</cp:lastModifiedBy>
  <dcterms:modified xsi:type="dcterms:W3CDTF">2023-06-05T08:55:39Z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