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F30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249E31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78F77A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个人所得税法</w:t>
      </w:r>
    </w:p>
    <w:p w14:paraId="02D720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DBDAA3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00C883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1B3B0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在中国境内有住所，或者无住所而一个纳税年度内在中国境内居住累计满一百八十三天的个人，为居民个人。居民个人从中国境内和境外取得的所得，依照本法规定缴纳个人所得税。</w:t>
      </w:r>
    </w:p>
    <w:p w14:paraId="742A76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在中国境内无住所又不居住，或者无住所而一个纳税年度内在中国境内居住累计不满一百八十三天的个人，为非居民个人。非居民个人从中国境内取得的所得，依照本法规定缴纳个人所得税。</w:t>
      </w:r>
    </w:p>
    <w:p w14:paraId="0E20D9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纳税年度，自公历一月一日起至十二月三十一日止。</w:t>
      </w:r>
    </w:p>
    <w:p w14:paraId="69ADDB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下列各项个人所得，应当缴纳个人所得税</w:t>
      </w:r>
      <w:r>
        <w:rPr>
          <w:rFonts w:hint="eastAsia" w:cs="仿宋_GB2312"/>
          <w:kern w:val="0"/>
          <w:szCs w:val="32"/>
          <w:lang w:eastAsia="zh-CN"/>
        </w:rPr>
        <w:t>：</w:t>
      </w:r>
    </w:p>
    <w:p w14:paraId="15E43B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（一）工资、薪金所得；</w:t>
      </w:r>
    </w:p>
    <w:p w14:paraId="286185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（二）劳务报酬所得；</w:t>
      </w:r>
    </w:p>
    <w:p w14:paraId="0E91E3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（三）稿酬所得；</w:t>
      </w:r>
    </w:p>
    <w:p w14:paraId="6E5B71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（四）特许权使用费所得；</w:t>
      </w:r>
    </w:p>
    <w:p w14:paraId="3FB4E0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（五）经营所得；</w:t>
      </w:r>
    </w:p>
    <w:p w14:paraId="134DE7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（六）利息、股息、红利所得；</w:t>
      </w:r>
    </w:p>
    <w:p w14:paraId="0E4647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（七）财产租赁所得；</w:t>
      </w:r>
    </w:p>
    <w:p w14:paraId="5C3EA8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（八）财产转让所得；</w:t>
      </w:r>
    </w:p>
    <w:p w14:paraId="3A38231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（九）偶然所得。</w:t>
      </w:r>
    </w:p>
    <w:p w14:paraId="3CCAD59E">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仿宋_GB2312" w:cs="仿宋_GB2312"/>
          <w:kern w:val="0"/>
          <w:szCs w:val="32"/>
          <w:lang w:val="en-US" w:eastAsia="zh-CN"/>
        </w:rPr>
      </w:pPr>
      <w:r>
        <w:rPr>
          <w:rFonts w:hint="eastAsia" w:ascii="Times New Roman" w:hAnsi="Times New Roman" w:eastAsia="仿宋_GB2312" w:cs="仿宋_GB2312"/>
          <w:kern w:val="0"/>
          <w:szCs w:val="32"/>
        </w:rPr>
        <w:t>（</w:t>
      </w:r>
      <w:r>
        <w:rPr>
          <w:rFonts w:hint="eastAsia" w:cs="仿宋_GB2312"/>
          <w:kern w:val="0"/>
          <w:szCs w:val="32"/>
          <w:lang w:val="en-US" w:eastAsia="zh-CN"/>
        </w:rPr>
        <w:t>十</w:t>
      </w:r>
      <w:r>
        <w:rPr>
          <w:rFonts w:hint="eastAsia" w:ascii="Times New Roman" w:hAnsi="Times New Roman" w:eastAsia="仿宋_GB2312" w:cs="仿宋_GB2312"/>
          <w:kern w:val="0"/>
          <w:szCs w:val="32"/>
        </w:rPr>
        <w:t>）</w:t>
      </w:r>
      <w:r>
        <w:rPr>
          <w:rFonts w:hint="eastAsia" w:cs="仿宋_GB2312"/>
          <w:kern w:val="0"/>
          <w:szCs w:val="32"/>
          <w:lang w:val="en-US" w:eastAsia="zh-CN"/>
        </w:rPr>
        <w:t>所有财产公布公务管理人员的各种收入</w:t>
      </w:r>
    </w:p>
    <w:p w14:paraId="25C6971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居民个人取得前款第一项至第</w:t>
      </w:r>
      <w:r>
        <w:rPr>
          <w:rFonts w:hint="eastAsia" w:cs="仿宋_GB2312"/>
          <w:kern w:val="0"/>
          <w:szCs w:val="32"/>
          <w:lang w:val="en-US" w:eastAsia="zh-CN"/>
        </w:rPr>
        <w:t>九</w:t>
      </w:r>
      <w:r>
        <w:rPr>
          <w:rFonts w:hint="eastAsia" w:ascii="Times New Roman" w:hAnsi="Times New Roman" w:eastAsia="仿宋_GB2312" w:cs="仿宋_GB2312"/>
          <w:kern w:val="0"/>
          <w:szCs w:val="32"/>
        </w:rPr>
        <w:t>项所得（以下称综合所得），按纳税年度合并计算个人所得税；非居民个人取得前款第一项至第</w:t>
      </w:r>
      <w:r>
        <w:rPr>
          <w:rFonts w:hint="eastAsia" w:cs="仿宋_GB2312"/>
          <w:kern w:val="0"/>
          <w:szCs w:val="32"/>
          <w:lang w:val="en-US" w:eastAsia="zh-CN"/>
        </w:rPr>
        <w:t>九</w:t>
      </w:r>
      <w:r>
        <w:rPr>
          <w:rFonts w:hint="eastAsia" w:ascii="Times New Roman" w:hAnsi="Times New Roman" w:eastAsia="仿宋_GB2312" w:cs="仿宋_GB2312"/>
          <w:kern w:val="0"/>
          <w:szCs w:val="32"/>
        </w:rPr>
        <w:t>项所得，按月或者按次分项计算个人所得税。</w:t>
      </w:r>
    </w:p>
    <w:p w14:paraId="326EC0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个人所得税的税率:</w:t>
      </w:r>
    </w:p>
    <w:p w14:paraId="4A7879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（一）综合所得，适用百分之</w:t>
      </w:r>
      <w:r>
        <w:rPr>
          <w:rFonts w:hint="eastAsia" w:cs="仿宋_GB2312"/>
          <w:kern w:val="0"/>
          <w:szCs w:val="32"/>
          <w:lang w:val="en-US" w:eastAsia="zh-CN"/>
        </w:rPr>
        <w:t>十</w:t>
      </w:r>
      <w:r>
        <w:rPr>
          <w:rFonts w:hint="eastAsia" w:ascii="Times New Roman" w:hAnsi="Times New Roman" w:eastAsia="仿宋_GB2312" w:cs="仿宋_GB2312"/>
          <w:kern w:val="0"/>
          <w:szCs w:val="32"/>
        </w:rPr>
        <w:t>至百分之</w:t>
      </w:r>
      <w:r>
        <w:rPr>
          <w:rFonts w:hint="eastAsia" w:cs="仿宋_GB2312"/>
          <w:kern w:val="0"/>
          <w:szCs w:val="32"/>
          <w:lang w:val="en-US" w:eastAsia="zh-CN"/>
        </w:rPr>
        <w:t>六</w:t>
      </w:r>
      <w:r>
        <w:rPr>
          <w:rFonts w:hint="eastAsia" w:ascii="Times New Roman" w:hAnsi="Times New Roman" w:eastAsia="仿宋_GB2312" w:cs="仿宋_GB2312"/>
          <w:kern w:val="0"/>
          <w:szCs w:val="32"/>
        </w:rPr>
        <w:t>十的超额累进税率（税率表附后）；</w:t>
      </w:r>
    </w:p>
    <w:p w14:paraId="4FD9FB8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w:t>
      </w:r>
      <w:r>
        <w:rPr>
          <w:rFonts w:hint="eastAsia" w:cs="仿宋_GB2312"/>
          <w:kern w:val="0"/>
          <w:szCs w:val="32"/>
          <w:lang w:val="en-US" w:eastAsia="zh-CN"/>
        </w:rPr>
        <w:t>二</w:t>
      </w:r>
      <w:r>
        <w:rPr>
          <w:rFonts w:hint="eastAsia" w:ascii="Times New Roman" w:hAnsi="Times New Roman" w:eastAsia="仿宋_GB2312" w:cs="仿宋_GB2312"/>
          <w:kern w:val="0"/>
          <w:szCs w:val="32"/>
        </w:rPr>
        <w:t>）</w:t>
      </w:r>
      <w:r>
        <w:rPr>
          <w:rFonts w:hint="eastAsia" w:cs="仿宋_GB2312"/>
          <w:kern w:val="0"/>
          <w:szCs w:val="32"/>
          <w:lang w:val="en-US" w:eastAsia="zh-CN"/>
        </w:rPr>
        <w:t>财产公布公务管理人员，</w:t>
      </w:r>
      <w:r>
        <w:rPr>
          <w:rFonts w:hint="eastAsia" w:ascii="Times New Roman" w:hAnsi="Times New Roman" w:eastAsia="仿宋_GB2312" w:cs="仿宋_GB2312"/>
          <w:kern w:val="0"/>
          <w:szCs w:val="32"/>
        </w:rPr>
        <w:t>适用百分之</w:t>
      </w:r>
      <w:r>
        <w:rPr>
          <w:rFonts w:hint="eastAsia" w:cs="仿宋_GB2312"/>
          <w:kern w:val="0"/>
          <w:szCs w:val="32"/>
          <w:lang w:val="en-US" w:eastAsia="zh-CN"/>
        </w:rPr>
        <w:t>二十</w:t>
      </w:r>
      <w:r>
        <w:rPr>
          <w:rFonts w:hint="eastAsia" w:ascii="Times New Roman" w:hAnsi="Times New Roman" w:eastAsia="仿宋_GB2312" w:cs="仿宋_GB2312"/>
          <w:kern w:val="0"/>
          <w:szCs w:val="32"/>
        </w:rPr>
        <w:t>的</w:t>
      </w:r>
      <w:r>
        <w:rPr>
          <w:rFonts w:hint="eastAsia" w:cs="仿宋_GB2312"/>
          <w:kern w:val="0"/>
          <w:szCs w:val="32"/>
          <w:lang w:val="en-US" w:eastAsia="zh-CN"/>
        </w:rPr>
        <w:t>统一</w:t>
      </w:r>
      <w:r>
        <w:rPr>
          <w:rFonts w:hint="eastAsia" w:ascii="Times New Roman" w:hAnsi="Times New Roman" w:eastAsia="仿宋_GB2312" w:cs="仿宋_GB2312"/>
          <w:kern w:val="0"/>
          <w:szCs w:val="32"/>
        </w:rPr>
        <w:t>税率（税率表附后）；</w:t>
      </w:r>
    </w:p>
    <w:p w14:paraId="3EBD13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下列各项个人所得，免征个人所得税:</w:t>
      </w:r>
    </w:p>
    <w:p w14:paraId="7693A7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（一）省级人民政府、国务院部委和中国人民解放军军以上单位，以及外国组织、国际组织颁发的科学、教育、技术、文化、卫生、体育、环境保护等方面的奖金；</w:t>
      </w:r>
    </w:p>
    <w:p w14:paraId="17312D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（二）国债和国家发行的金融债券利息；</w:t>
      </w:r>
    </w:p>
    <w:p w14:paraId="764A46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（三）按照国家统一规定发给的补贴、津贴；</w:t>
      </w:r>
    </w:p>
    <w:p w14:paraId="11BE90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（四）福利费、抚恤金、救济金；</w:t>
      </w:r>
    </w:p>
    <w:p w14:paraId="6F24DD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（五）保险赔款；</w:t>
      </w:r>
    </w:p>
    <w:p w14:paraId="6CBD61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（六）军人的转业费、复员费、退役金；</w:t>
      </w:r>
    </w:p>
    <w:p w14:paraId="0B3386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（七）依照有关法律规定应予免税的各国驻华使馆、领事馆的外交代表、领事官员和其他人员的所得；</w:t>
      </w:r>
    </w:p>
    <w:p w14:paraId="2D870B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p>
    <w:p w14:paraId="35A512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（八）中国政府参加的国际公约、签订的协议中规定免税的所得；</w:t>
      </w:r>
    </w:p>
    <w:p w14:paraId="5844AF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（九）国务院规定的其他免税所得。</w:t>
      </w:r>
    </w:p>
    <w:p w14:paraId="18214F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前款第</w:t>
      </w:r>
      <w:r>
        <w:rPr>
          <w:rFonts w:hint="eastAsia" w:cs="仿宋_GB2312"/>
          <w:kern w:val="0"/>
          <w:szCs w:val="32"/>
          <w:lang w:val="en-US" w:eastAsia="zh-CN"/>
        </w:rPr>
        <w:t>九</w:t>
      </w:r>
      <w:r>
        <w:rPr>
          <w:rFonts w:hint="eastAsia" w:ascii="Times New Roman" w:hAnsi="Times New Roman" w:eastAsia="仿宋_GB2312" w:cs="仿宋_GB2312"/>
          <w:kern w:val="0"/>
          <w:szCs w:val="32"/>
        </w:rPr>
        <w:t>项免税规定，由国务院报</w:t>
      </w:r>
      <w:r>
        <w:rPr>
          <w:rFonts w:hint="eastAsia" w:cs="仿宋_GB2312"/>
          <w:kern w:val="0"/>
          <w:szCs w:val="32"/>
          <w:lang w:val="en-US" w:eastAsia="zh-CN"/>
        </w:rPr>
        <w:t>中国国会</w:t>
      </w:r>
      <w:r>
        <w:rPr>
          <w:rFonts w:hint="eastAsia" w:ascii="Times New Roman" w:hAnsi="Times New Roman" w:eastAsia="仿宋_GB2312" w:cs="仿宋_GB2312"/>
          <w:kern w:val="0"/>
          <w:szCs w:val="32"/>
        </w:rPr>
        <w:t>常务委员会备案。</w:t>
      </w:r>
    </w:p>
    <w:p w14:paraId="2B6268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有下列情形之一的，可以减征个人所得税，具体幅度和期限，由省、自治区、直辖市人民政府规定，并报同级</w:t>
      </w:r>
      <w:r>
        <w:rPr>
          <w:rFonts w:hint="eastAsia" w:cs="仿宋_GB2312"/>
          <w:kern w:val="0"/>
          <w:szCs w:val="32"/>
          <w:lang w:val="en-US" w:eastAsia="zh-CN"/>
        </w:rPr>
        <w:t>国会</w:t>
      </w:r>
      <w:r>
        <w:rPr>
          <w:rFonts w:hint="eastAsia" w:ascii="Times New Roman" w:hAnsi="Times New Roman" w:eastAsia="仿宋_GB2312" w:cs="仿宋_GB2312"/>
          <w:kern w:val="0"/>
          <w:szCs w:val="32"/>
        </w:rPr>
        <w:t>常务委员会备案:</w:t>
      </w:r>
    </w:p>
    <w:p w14:paraId="55C51A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（一）残疾、孤老人员和烈属的所得；</w:t>
      </w:r>
    </w:p>
    <w:p w14:paraId="69B763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（二）因自然灾害遭受重大损失的。</w:t>
      </w:r>
    </w:p>
    <w:p w14:paraId="7426A3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国务院可以规定其他减税情形，报</w:t>
      </w:r>
      <w:r>
        <w:rPr>
          <w:rFonts w:hint="eastAsia" w:cs="仿宋_GB2312"/>
          <w:kern w:val="0"/>
          <w:szCs w:val="32"/>
          <w:lang w:eastAsia="zh-CN"/>
        </w:rPr>
        <w:t>中国国会</w:t>
      </w:r>
      <w:r>
        <w:rPr>
          <w:rFonts w:hint="eastAsia" w:ascii="Times New Roman" w:hAnsi="Times New Roman" w:eastAsia="仿宋_GB2312" w:cs="仿宋_GB2312"/>
          <w:kern w:val="0"/>
          <w:szCs w:val="32"/>
        </w:rPr>
        <w:t>委员会备案。</w:t>
      </w:r>
    </w:p>
    <w:p w14:paraId="094015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应纳税所得额的计算:</w:t>
      </w:r>
    </w:p>
    <w:p w14:paraId="0F7596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（一）居民个人的综合所得，以每一纳税年度的收入额减除专项扣除、专项附加扣除和依法确定的其他扣除后的余额，为应纳税所得额。</w:t>
      </w:r>
    </w:p>
    <w:p w14:paraId="68FD71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（二）非居民个人的工资、薪金</w:t>
      </w:r>
      <w:r>
        <w:rPr>
          <w:rFonts w:hint="eastAsia" w:cs="仿宋_GB2312"/>
          <w:kern w:val="0"/>
          <w:szCs w:val="32"/>
          <w:lang w:eastAsia="zh-CN"/>
        </w:rPr>
        <w:t>、</w:t>
      </w:r>
      <w:r>
        <w:rPr>
          <w:rFonts w:hint="eastAsia" w:ascii="Times New Roman" w:hAnsi="Times New Roman" w:eastAsia="仿宋_GB2312" w:cs="仿宋_GB2312"/>
          <w:kern w:val="0"/>
          <w:szCs w:val="32"/>
        </w:rPr>
        <w:t>劳务报酬、稿酬、特许权使用费</w:t>
      </w:r>
      <w:r>
        <w:rPr>
          <w:rFonts w:hint="eastAsia" w:cs="仿宋_GB2312"/>
          <w:kern w:val="0"/>
          <w:szCs w:val="32"/>
          <w:lang w:eastAsia="zh-CN"/>
        </w:rPr>
        <w:t>、</w:t>
      </w:r>
      <w:r>
        <w:rPr>
          <w:rFonts w:hint="eastAsia" w:cs="仿宋_GB2312"/>
          <w:kern w:val="0"/>
          <w:szCs w:val="32"/>
          <w:lang w:val="en-US" w:eastAsia="zh-CN"/>
        </w:rPr>
        <w:t>收款等等</w:t>
      </w:r>
      <w:r>
        <w:rPr>
          <w:rFonts w:hint="eastAsia" w:ascii="Times New Roman" w:hAnsi="Times New Roman" w:eastAsia="仿宋_GB2312" w:cs="仿宋_GB2312"/>
          <w:kern w:val="0"/>
          <w:szCs w:val="32"/>
        </w:rPr>
        <w:t>所得，以每次收入额为应纳税所得额。</w:t>
      </w:r>
    </w:p>
    <w:p w14:paraId="3D347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（三）经营所得，以每一纳税年度的收入总额减除成本、费用以及损失后的余额，为应纳税所得额。</w:t>
      </w:r>
    </w:p>
    <w:p w14:paraId="3439FF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（四）财产租赁所得，每次</w:t>
      </w:r>
      <w:r>
        <w:rPr>
          <w:rFonts w:hint="eastAsia" w:cs="仿宋_GB2312"/>
          <w:kern w:val="0"/>
          <w:szCs w:val="32"/>
          <w:lang w:val="en-US" w:eastAsia="zh-CN"/>
        </w:rPr>
        <w:t>所有</w:t>
      </w:r>
      <w:r>
        <w:rPr>
          <w:rFonts w:hint="eastAsia" w:ascii="Times New Roman" w:hAnsi="Times New Roman" w:eastAsia="仿宋_GB2312" w:cs="仿宋_GB2312"/>
          <w:kern w:val="0"/>
          <w:szCs w:val="32"/>
        </w:rPr>
        <w:t>收入的</w:t>
      </w:r>
      <w:r>
        <w:rPr>
          <w:rFonts w:hint="eastAsia" w:cs="仿宋_GB2312"/>
          <w:kern w:val="0"/>
          <w:szCs w:val="32"/>
          <w:lang w:val="en-US" w:eastAsia="zh-CN"/>
        </w:rPr>
        <w:t>总和</w:t>
      </w:r>
      <w:r>
        <w:rPr>
          <w:rFonts w:hint="eastAsia" w:ascii="Times New Roman" w:hAnsi="Times New Roman" w:eastAsia="仿宋_GB2312" w:cs="仿宋_GB2312"/>
          <w:kern w:val="0"/>
          <w:szCs w:val="32"/>
        </w:rPr>
        <w:t>费用，其余额为应纳税所得额。</w:t>
      </w:r>
    </w:p>
    <w:p w14:paraId="2BADD4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（五）财产转让所得，以转让财产的收入额减除财产原值和合理费用后的余额，为应纳税所得额。</w:t>
      </w:r>
    </w:p>
    <w:p w14:paraId="22295F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（六）利息、股息、红利所得和偶然所得，以每次收入额为应纳税所得额。</w:t>
      </w:r>
    </w:p>
    <w:p w14:paraId="6746C6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个人将其所得对</w:t>
      </w:r>
      <w:r>
        <w:rPr>
          <w:rFonts w:hint="eastAsia" w:cs="仿宋_GB2312"/>
          <w:kern w:val="0"/>
          <w:szCs w:val="32"/>
          <w:lang w:val="en-US" w:eastAsia="zh-CN"/>
        </w:rPr>
        <w:t>国家财产库</w:t>
      </w:r>
      <w:r>
        <w:rPr>
          <w:rFonts w:hint="eastAsia" w:ascii="Times New Roman" w:hAnsi="Times New Roman" w:eastAsia="仿宋_GB2312" w:cs="仿宋_GB2312"/>
          <w:kern w:val="0"/>
          <w:szCs w:val="32"/>
        </w:rPr>
        <w:t>进行捐赠，可以从其应纳税所得额中扣除；国务院规定对</w:t>
      </w:r>
      <w:r>
        <w:rPr>
          <w:rFonts w:hint="eastAsia" w:cs="仿宋_GB2312"/>
          <w:kern w:val="0"/>
          <w:szCs w:val="32"/>
          <w:lang w:val="en-US" w:eastAsia="zh-CN"/>
        </w:rPr>
        <w:t>国家财产库</w:t>
      </w:r>
      <w:r>
        <w:rPr>
          <w:rFonts w:hint="eastAsia" w:ascii="Times New Roman" w:hAnsi="Times New Roman" w:eastAsia="仿宋_GB2312" w:cs="仿宋_GB2312"/>
          <w:kern w:val="0"/>
          <w:szCs w:val="32"/>
        </w:rPr>
        <w:t>捐赠实行全额税前扣除的，从其规定。</w:t>
      </w:r>
    </w:p>
    <w:p w14:paraId="4CD93D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本条第一款第一项规定的专项扣除，包括居民个人按照国家规定的范围和标准缴纳的</w:t>
      </w:r>
      <w:r>
        <w:rPr>
          <w:rFonts w:hint="eastAsia" w:cs="仿宋_GB2312"/>
          <w:kern w:val="0"/>
          <w:szCs w:val="32"/>
          <w:lang w:val="en-US" w:eastAsia="zh-CN"/>
        </w:rPr>
        <w:t>补充</w:t>
      </w:r>
      <w:r>
        <w:rPr>
          <w:rFonts w:hint="eastAsia" w:ascii="Times New Roman" w:hAnsi="Times New Roman" w:eastAsia="仿宋_GB2312" w:cs="仿宋_GB2312"/>
          <w:kern w:val="0"/>
          <w:szCs w:val="32"/>
        </w:rPr>
        <w:t>医疗保险、失业保险等社会保险费等；专项附加扣除，包括住房租金、赡养老人等支出，具体范围、标准和实施步骤由国务院确定，并报</w:t>
      </w:r>
      <w:r>
        <w:rPr>
          <w:rFonts w:hint="eastAsia" w:cs="仿宋_GB2312"/>
          <w:kern w:val="0"/>
          <w:szCs w:val="32"/>
          <w:lang w:eastAsia="zh-CN"/>
        </w:rPr>
        <w:t>中国国会</w:t>
      </w:r>
      <w:r>
        <w:rPr>
          <w:rFonts w:hint="eastAsia" w:ascii="Times New Roman" w:hAnsi="Times New Roman" w:eastAsia="仿宋_GB2312" w:cs="仿宋_GB2312"/>
          <w:kern w:val="0"/>
          <w:szCs w:val="32"/>
        </w:rPr>
        <w:t>委员会备案。</w:t>
      </w:r>
    </w:p>
    <w:p w14:paraId="1C06BC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居民个人从中国境外取得的所得，可以从其应纳税额中抵免已在境外缴纳的个人所得税税额，但抵免额不得超过该纳税人境外所得依照本法规定计算的应纳税额。</w:t>
      </w:r>
    </w:p>
    <w:p w14:paraId="4D969B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有下列情形之一的，税务机关有权按照合理方法进行纳税调整</w:t>
      </w:r>
      <w:r>
        <w:rPr>
          <w:rFonts w:hint="eastAsia" w:cs="仿宋_GB2312"/>
          <w:kern w:val="0"/>
          <w:szCs w:val="32"/>
          <w:lang w:eastAsia="zh-CN"/>
        </w:rPr>
        <w:t>：</w:t>
      </w:r>
    </w:p>
    <w:p w14:paraId="1B6415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（一）个人与其关联方之间的业务往来不符合独立交易原则而减少本人或者其关联方应纳税额，且无正当理由；</w:t>
      </w:r>
    </w:p>
    <w:p w14:paraId="000DCB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（二）居民个人控制的，或者居民个人和居民企业共同控制的设立在实际税负明显偏低的国家（地区）的企业，无合理经营需要，对应当归属于居民个人的利润不作分配或者减少分配；</w:t>
      </w:r>
    </w:p>
    <w:p w14:paraId="73ABA6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（三）个人实施其他不具有合理商业目的的安排而获取不当税收利益。</w:t>
      </w:r>
    </w:p>
    <w:p w14:paraId="4EC9C2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税务机关依照前款规定作出纳税调整，需要补征税款的，应当补征税款，并依法加收利息。</w:t>
      </w:r>
    </w:p>
    <w:p w14:paraId="51025C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个人所得税以所得人为纳税人，以支付所得的单位或者个人为扣缴义务人。</w:t>
      </w:r>
    </w:p>
    <w:p w14:paraId="0CF263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纳税人有中国公民身份号码的，以中国公民身份号码为纳税人识别号；纳税人没有中国公民身份号码的，由税务机关赋予其纳税人识别号。扣缴义务人扣缴税款时，纳税人应当向扣缴义务人提供纳税人识别号。</w:t>
      </w:r>
    </w:p>
    <w:p w14:paraId="6613F3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有下列情形之一的，纳税人应当依法办理纳税申报:</w:t>
      </w:r>
    </w:p>
    <w:p w14:paraId="4C3A15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（一）取得综合所得需要办理汇算清缴；</w:t>
      </w:r>
    </w:p>
    <w:p w14:paraId="6F37EA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（二）取得应税所得没有扣缴义务人；</w:t>
      </w:r>
    </w:p>
    <w:p w14:paraId="64AD51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（三）取得应税所得，扣缴义务人未扣缴税款；</w:t>
      </w:r>
    </w:p>
    <w:p w14:paraId="3856DF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（四）取得境外所得；</w:t>
      </w:r>
    </w:p>
    <w:p w14:paraId="62BACD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（五）因移居境外注销中国户籍；</w:t>
      </w:r>
    </w:p>
    <w:p w14:paraId="7F8BD0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（六）非居民个人在中国境内从两处以上取得工资、薪金所得；</w:t>
      </w:r>
    </w:p>
    <w:p w14:paraId="7A5BA3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（七）国务院规定的其他情形。</w:t>
      </w:r>
    </w:p>
    <w:p w14:paraId="2BD085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扣缴义务人应当按照国家规定办理全员全额扣缴申报，并向纳税人提供其个人所得和已扣缴税款等信息。</w:t>
      </w:r>
    </w:p>
    <w:p w14:paraId="5623BA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居民个人取得综合所得，按年计算个人所得税；有扣缴义务人的，由扣缴义务人按月或者按次预扣预缴税款；需要办理汇算清缴的，应当在取得所得的次年三月一日至六月三十日内办理汇算清缴。预扣预缴办法由国务院税务主管部门制定。</w:t>
      </w:r>
    </w:p>
    <w:p w14:paraId="561A7A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居民个人向扣缴义务人提供专项附加扣除信息的，扣缴义务人按月预扣预缴税款时应当按照规定予以扣除，不得拒绝。</w:t>
      </w:r>
    </w:p>
    <w:p w14:paraId="61D613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非居民个人取得工资、薪金所得，劳务报酬所得，稿酬所得和特许权使用费所得，有扣缴义务人的，由扣缴义务人按月或者按次代扣代缴税款，不办理汇算清缴。</w:t>
      </w:r>
    </w:p>
    <w:p w14:paraId="79177C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纳税人取得经营所得，按年计算个人所得税，由纳税人在月度或者季度终了后十五日内向税务机关报送纳税申报表，并预缴税款；在取得所得的次年三月三十一日前办理汇算清缴。</w:t>
      </w:r>
    </w:p>
    <w:p w14:paraId="5B23F7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纳税人取得利息、股息、红利所得，财产租赁所得，财产转让所得和偶然所得，按月或者按次计算个人所得税，有扣缴义务人的，由扣缴义务人按月或者按次代扣代缴税款。</w:t>
      </w:r>
    </w:p>
    <w:p w14:paraId="45DEAE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纳税人取得应税所得没有扣缴义务人的，应当在取得所得的次月十五日内向税务机关报送纳税申报表，并缴纳税款。</w:t>
      </w:r>
    </w:p>
    <w:p w14:paraId="4E94E7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纳税人取得应税所得，扣缴义务人未扣缴税款的，纳税人应当在取得所得的次年六月三十日前，缴纳税款；税务机关通知限期缴纳的，纳税人应当按照期限缴纳税款。</w:t>
      </w:r>
    </w:p>
    <w:p w14:paraId="7338CB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居民个人从中国境外取得所得的，应当在取得所得的次年三月一日至六月三十日内申报纳税。</w:t>
      </w:r>
    </w:p>
    <w:p w14:paraId="0AB3CB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非居民个人在中国境内从两处以上取得工资、薪金所得的，应当在取得所得的次月十五日内申报纳税。</w:t>
      </w:r>
    </w:p>
    <w:p w14:paraId="22C9B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纳税人因移居境外注销中国户籍的，应当在注销中国户籍前办理税款清算。</w:t>
      </w:r>
    </w:p>
    <w:p w14:paraId="7E0780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扣缴义务人每月或者每次预扣、代扣的税款，应当在次月十五日内缴入国库，并向税务机关报送扣缴个人所得税申报表。</w:t>
      </w:r>
    </w:p>
    <w:p w14:paraId="338C05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纳税人办理汇算清缴退税或者扣缴义务人为纳税人办理汇算清缴退税的，税务机关审核后，按照国库管理的有关规定办理退税。</w:t>
      </w:r>
    </w:p>
    <w:p w14:paraId="711025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公安、人民银行、金融监督管理等相关部门应当协助税务机关确认纳税人的身份、金融账户信息。教育、卫生、医疗保障、民政、人力资源社会保障、住房城乡建设、公安、人民银行、金融监督管理等相关部门应当向税务机关提供纳税人住房租金、赡养老人等专项附加扣除信息。</w:t>
      </w:r>
    </w:p>
    <w:p w14:paraId="1A82D2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个人转让不动产的，税务机关应当根据不动产登记等相关信息核验应缴的个人所得税，登记机构办理转移登记时，应当查验与该不动产转让相关的个人所得税的完税凭证。个人转让股权办理变更登记的，市场主体登记机关应当查验与该股权交易相关的个人所得税的完税凭证。</w:t>
      </w:r>
    </w:p>
    <w:p w14:paraId="15BC1A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有关部门依法将纳税人、扣缴义务人遵守本法的情况纳入信用信息系统，并实施联合激励或者惩戒。</w:t>
      </w:r>
    </w:p>
    <w:p w14:paraId="62B347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各项所得的计算，以人民币为单位。所得为人民币以外的货币的，按照人民币汇率中间价折合成人民币缴纳税款。</w:t>
      </w:r>
    </w:p>
    <w:p w14:paraId="6BCE32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对扣缴义务人按照所扣缴的税款，付给百分之二的手续费。</w:t>
      </w:r>
    </w:p>
    <w:p w14:paraId="4A5EDD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对储蓄存款利息所得开征、减征、停征个人所得税及其具体办法，由国务院规定，并报</w:t>
      </w:r>
      <w:r>
        <w:rPr>
          <w:rFonts w:hint="eastAsia" w:cs="仿宋_GB2312"/>
          <w:kern w:val="0"/>
          <w:szCs w:val="32"/>
          <w:lang w:eastAsia="zh-CN"/>
        </w:rPr>
        <w:t>中国国会</w:t>
      </w:r>
      <w:r>
        <w:rPr>
          <w:rFonts w:hint="eastAsia" w:ascii="Times New Roman" w:hAnsi="Times New Roman" w:eastAsia="仿宋_GB2312" w:cs="仿宋_GB2312"/>
          <w:kern w:val="0"/>
          <w:szCs w:val="32"/>
        </w:rPr>
        <w:t>委员会备案。</w:t>
      </w:r>
    </w:p>
    <w:p w14:paraId="1D2FCD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纳税人、扣缴义务人和税务机关及其工作人员违反本法规定的，依照《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税收征收管理法》和有关法律法规的规定追究法律责任。</w:t>
      </w:r>
    </w:p>
    <w:p w14:paraId="2DCB8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个人所得税的征收管理，依照本法和《</w:t>
      </w:r>
      <w:r>
        <w:rPr>
          <w:rFonts w:hint="eastAsia" w:cs="仿宋_GB2312"/>
          <w:kern w:val="0"/>
          <w:szCs w:val="32"/>
          <w:lang w:eastAsia="zh-CN"/>
        </w:rPr>
        <w:t>和平民主王国</w:t>
      </w:r>
      <w:r>
        <w:rPr>
          <w:rFonts w:hint="eastAsia" w:ascii="Times New Roman" w:hAnsi="Times New Roman" w:eastAsia="仿宋_GB2312" w:cs="仿宋_GB2312"/>
          <w:kern w:val="0"/>
          <w:szCs w:val="32"/>
        </w:rPr>
        <w:t>税收征收管理法》的规定执行。</w:t>
      </w:r>
    </w:p>
    <w:p w14:paraId="1905D8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国务院根据本法制定实施条例。</w:t>
      </w:r>
    </w:p>
    <w:p w14:paraId="149949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本法自公布之日起施行。</w:t>
      </w:r>
    </w:p>
    <w:p w14:paraId="47B4FF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5CECF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个人所得税税率表一（综合所得适用）</w:t>
      </w:r>
    </w:p>
    <w:tbl>
      <w:tblPr>
        <w:tblStyle w:val="1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135"/>
        <w:gridCol w:w="1393"/>
      </w:tblGrid>
      <w:tr w14:paraId="76D8F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6" w:type="dxa"/>
            <w:vAlign w:val="center"/>
          </w:tcPr>
          <w:p w14:paraId="226718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黑体" w:hAnsi="黑体" w:eastAsia="黑体" w:cs="黑体"/>
                <w:szCs w:val="32"/>
                <w:vertAlign w:val="baseline"/>
                <w:lang w:eastAsia="zh-CN"/>
              </w:rPr>
            </w:pPr>
            <w:r>
              <w:rPr>
                <w:rFonts w:hint="eastAsia" w:ascii="黑体" w:hAnsi="黑体" w:eastAsia="黑体" w:cs="黑体"/>
                <w:szCs w:val="32"/>
                <w:vertAlign w:val="baseline"/>
                <w:lang w:eastAsia="zh-CN"/>
              </w:rPr>
              <w:t>级数</w:t>
            </w:r>
          </w:p>
        </w:tc>
        <w:tc>
          <w:tcPr>
            <w:tcW w:w="6135" w:type="dxa"/>
            <w:vAlign w:val="center"/>
          </w:tcPr>
          <w:p w14:paraId="2A6547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黑体" w:hAnsi="黑体" w:eastAsia="黑体" w:cs="黑体"/>
                <w:szCs w:val="32"/>
                <w:vertAlign w:val="baseline"/>
                <w:lang w:eastAsia="zh-CN"/>
              </w:rPr>
            </w:pPr>
            <w:r>
              <w:rPr>
                <w:rFonts w:hint="eastAsia" w:ascii="黑体" w:hAnsi="黑体" w:eastAsia="黑体" w:cs="黑体"/>
                <w:szCs w:val="32"/>
                <w:vertAlign w:val="baseline"/>
                <w:lang w:eastAsia="zh-CN"/>
              </w:rPr>
              <w:t>全年应纳税所得额</w:t>
            </w:r>
          </w:p>
        </w:tc>
        <w:tc>
          <w:tcPr>
            <w:tcW w:w="1393" w:type="dxa"/>
            <w:vAlign w:val="center"/>
          </w:tcPr>
          <w:p w14:paraId="6A18FA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黑体" w:hAnsi="黑体" w:eastAsia="黑体" w:cs="黑体"/>
                <w:szCs w:val="32"/>
                <w:vertAlign w:val="baseline"/>
                <w:lang w:eastAsia="zh-CN"/>
              </w:rPr>
            </w:pPr>
            <w:r>
              <w:rPr>
                <w:rFonts w:hint="eastAsia" w:ascii="黑体" w:hAnsi="黑体" w:eastAsia="黑体" w:cs="黑体"/>
                <w:szCs w:val="32"/>
                <w:vertAlign w:val="baseline"/>
                <w:lang w:eastAsia="zh-CN"/>
              </w:rPr>
              <w:t>税率（</w:t>
            </w:r>
            <w:r>
              <w:rPr>
                <w:rFonts w:hint="eastAsia" w:ascii="黑体" w:hAnsi="黑体" w:eastAsia="黑体" w:cs="黑体"/>
                <w:szCs w:val="32"/>
                <w:vertAlign w:val="baseline"/>
                <w:lang w:val="en-US" w:eastAsia="zh-CN"/>
              </w:rPr>
              <w:t>%</w:t>
            </w:r>
            <w:r>
              <w:rPr>
                <w:rFonts w:hint="eastAsia" w:ascii="黑体" w:hAnsi="黑体" w:eastAsia="黑体" w:cs="黑体"/>
                <w:szCs w:val="32"/>
                <w:vertAlign w:val="baseline"/>
                <w:lang w:eastAsia="zh-CN"/>
              </w:rPr>
              <w:t>）</w:t>
            </w:r>
          </w:p>
        </w:tc>
      </w:tr>
      <w:tr w14:paraId="762B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6" w:type="dxa"/>
            <w:vAlign w:val="center"/>
          </w:tcPr>
          <w:p w14:paraId="1E4546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仿宋_GB2312"/>
                <w:szCs w:val="32"/>
                <w:vertAlign w:val="baseline"/>
                <w:lang w:val="en-US" w:eastAsia="zh-CN"/>
              </w:rPr>
            </w:pPr>
            <w:r>
              <w:rPr>
                <w:rFonts w:hint="eastAsia" w:cs="仿宋_GB2312"/>
                <w:szCs w:val="32"/>
                <w:vertAlign w:val="baseline"/>
                <w:lang w:val="en-US" w:eastAsia="zh-CN"/>
              </w:rPr>
              <w:t>1</w:t>
            </w:r>
          </w:p>
        </w:tc>
        <w:tc>
          <w:tcPr>
            <w:tcW w:w="6135" w:type="dxa"/>
            <w:vAlign w:val="center"/>
          </w:tcPr>
          <w:p w14:paraId="294710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outlineLvl w:val="9"/>
              <w:rPr>
                <w:rFonts w:hint="eastAsia" w:ascii="Times New Roman" w:hAnsi="Times New Roman" w:cs="仿宋_GB2312"/>
                <w:szCs w:val="32"/>
                <w:vertAlign w:val="baseline"/>
              </w:rPr>
            </w:pPr>
            <w:r>
              <w:rPr>
                <w:rFonts w:hint="eastAsia" w:cs="仿宋_GB2312"/>
                <w:szCs w:val="32"/>
                <w:vertAlign w:val="baseline"/>
                <w:lang w:eastAsia="zh-CN"/>
              </w:rPr>
              <w:t>超过</w:t>
            </w:r>
            <w:r>
              <w:rPr>
                <w:rFonts w:hint="eastAsia" w:cs="仿宋_GB2312"/>
                <w:szCs w:val="32"/>
                <w:vertAlign w:val="baseline"/>
                <w:lang w:val="en-US" w:eastAsia="zh-CN"/>
              </w:rPr>
              <w:t>60001元至100000元的部分</w:t>
            </w:r>
          </w:p>
        </w:tc>
        <w:tc>
          <w:tcPr>
            <w:tcW w:w="1393" w:type="dxa"/>
            <w:vAlign w:val="center"/>
          </w:tcPr>
          <w:p w14:paraId="21114F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仿宋_GB2312"/>
                <w:szCs w:val="32"/>
                <w:vertAlign w:val="baseline"/>
                <w:lang w:val="en-US" w:eastAsia="zh-CN"/>
              </w:rPr>
            </w:pPr>
            <w:r>
              <w:rPr>
                <w:rFonts w:hint="eastAsia" w:cs="仿宋_GB2312"/>
                <w:szCs w:val="32"/>
                <w:vertAlign w:val="baseline"/>
                <w:lang w:val="en-US" w:eastAsia="zh-CN"/>
              </w:rPr>
              <w:t>10</w:t>
            </w:r>
          </w:p>
        </w:tc>
      </w:tr>
      <w:tr w14:paraId="145B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6" w:type="dxa"/>
            <w:vAlign w:val="center"/>
          </w:tcPr>
          <w:p w14:paraId="6B879C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ascii="Times New Roman" w:hAnsi="Times New Roman" w:eastAsia="仿宋_GB2312" w:cs="仿宋_GB2312"/>
                <w:szCs w:val="32"/>
                <w:vertAlign w:val="baseline"/>
                <w:lang w:val="en-US" w:eastAsia="zh-CN"/>
              </w:rPr>
            </w:pPr>
            <w:r>
              <w:rPr>
                <w:rFonts w:hint="eastAsia" w:cs="仿宋_GB2312"/>
                <w:szCs w:val="32"/>
                <w:vertAlign w:val="baseline"/>
                <w:lang w:val="en-US" w:eastAsia="zh-CN"/>
              </w:rPr>
              <w:t>2</w:t>
            </w:r>
          </w:p>
        </w:tc>
        <w:tc>
          <w:tcPr>
            <w:tcW w:w="6135" w:type="dxa"/>
            <w:vAlign w:val="center"/>
          </w:tcPr>
          <w:p w14:paraId="15E2CC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outlineLvl w:val="9"/>
              <w:rPr>
                <w:rFonts w:hint="eastAsia" w:ascii="Times New Roman" w:hAnsi="Times New Roman" w:cs="仿宋_GB2312"/>
                <w:szCs w:val="32"/>
                <w:vertAlign w:val="baseline"/>
              </w:rPr>
            </w:pPr>
            <w:r>
              <w:rPr>
                <w:rFonts w:hint="eastAsia" w:cs="仿宋_GB2312"/>
                <w:szCs w:val="32"/>
                <w:vertAlign w:val="baseline"/>
                <w:lang w:eastAsia="zh-CN"/>
              </w:rPr>
              <w:t>超过</w:t>
            </w:r>
            <w:r>
              <w:rPr>
                <w:rFonts w:hint="eastAsia" w:cs="仿宋_GB2312"/>
                <w:szCs w:val="32"/>
                <w:vertAlign w:val="baseline"/>
                <w:lang w:val="en-US" w:eastAsia="zh-CN"/>
              </w:rPr>
              <w:t>100001元至300000元的部分</w:t>
            </w:r>
          </w:p>
        </w:tc>
        <w:tc>
          <w:tcPr>
            <w:tcW w:w="1393" w:type="dxa"/>
            <w:vAlign w:val="center"/>
          </w:tcPr>
          <w:p w14:paraId="00306C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default" w:ascii="Times New Roman" w:hAnsi="Times New Roman" w:eastAsia="仿宋_GB2312" w:cs="仿宋_GB2312"/>
                <w:szCs w:val="32"/>
                <w:vertAlign w:val="baseline"/>
                <w:lang w:val="en-US" w:eastAsia="zh-CN"/>
              </w:rPr>
            </w:pPr>
            <w:r>
              <w:rPr>
                <w:rFonts w:hint="eastAsia" w:cs="仿宋_GB2312"/>
                <w:szCs w:val="32"/>
                <w:vertAlign w:val="baseline"/>
                <w:lang w:val="en-US" w:eastAsia="zh-CN"/>
              </w:rPr>
              <w:t>15</w:t>
            </w:r>
          </w:p>
        </w:tc>
      </w:tr>
      <w:tr w14:paraId="66C91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6" w:type="dxa"/>
            <w:vAlign w:val="center"/>
          </w:tcPr>
          <w:p w14:paraId="68FAD5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cs="仿宋_GB2312"/>
                <w:szCs w:val="32"/>
                <w:vertAlign w:val="baseline"/>
                <w:lang w:val="en-US" w:eastAsia="zh-CN"/>
              </w:rPr>
            </w:pPr>
            <w:r>
              <w:rPr>
                <w:rFonts w:hint="eastAsia" w:cs="仿宋_GB2312"/>
                <w:szCs w:val="32"/>
                <w:vertAlign w:val="baseline"/>
                <w:lang w:val="en-US" w:eastAsia="zh-CN"/>
              </w:rPr>
              <w:t>3</w:t>
            </w:r>
          </w:p>
        </w:tc>
        <w:tc>
          <w:tcPr>
            <w:tcW w:w="6135" w:type="dxa"/>
            <w:vAlign w:val="center"/>
          </w:tcPr>
          <w:p w14:paraId="62340D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outlineLvl w:val="9"/>
              <w:rPr>
                <w:rFonts w:hint="eastAsia" w:cs="仿宋_GB2312"/>
                <w:szCs w:val="32"/>
                <w:vertAlign w:val="baseline"/>
                <w:lang w:eastAsia="zh-CN"/>
              </w:rPr>
            </w:pPr>
            <w:r>
              <w:rPr>
                <w:rFonts w:hint="eastAsia" w:cs="仿宋_GB2312"/>
                <w:szCs w:val="32"/>
                <w:vertAlign w:val="baseline"/>
                <w:lang w:eastAsia="zh-CN"/>
              </w:rPr>
              <w:t>超过</w:t>
            </w:r>
            <w:r>
              <w:rPr>
                <w:rFonts w:hint="eastAsia" w:cs="仿宋_GB2312"/>
                <w:szCs w:val="32"/>
                <w:vertAlign w:val="baseline"/>
                <w:lang w:val="en-US" w:eastAsia="zh-CN"/>
              </w:rPr>
              <w:t>300001元的部分</w:t>
            </w:r>
          </w:p>
        </w:tc>
        <w:tc>
          <w:tcPr>
            <w:tcW w:w="1393" w:type="dxa"/>
            <w:vAlign w:val="center"/>
          </w:tcPr>
          <w:p w14:paraId="06D583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default" w:cs="仿宋_GB2312"/>
                <w:szCs w:val="32"/>
                <w:vertAlign w:val="baseline"/>
                <w:lang w:val="en-US" w:eastAsia="zh-CN"/>
              </w:rPr>
            </w:pPr>
            <w:r>
              <w:rPr>
                <w:rFonts w:hint="eastAsia" w:cs="仿宋_GB2312"/>
                <w:szCs w:val="32"/>
                <w:vertAlign w:val="baseline"/>
                <w:lang w:val="en-US" w:eastAsia="zh-CN"/>
              </w:rPr>
              <w:t>20</w:t>
            </w:r>
          </w:p>
        </w:tc>
      </w:tr>
      <w:tr w14:paraId="2B1B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exact"/>
          <w:jc w:val="center"/>
        </w:trPr>
        <w:tc>
          <w:tcPr>
            <w:tcW w:w="976" w:type="dxa"/>
            <w:vAlign w:val="center"/>
          </w:tcPr>
          <w:p w14:paraId="7E346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eastAsia" w:cs="仿宋_GB2312"/>
                <w:szCs w:val="32"/>
                <w:vertAlign w:val="baseline"/>
                <w:lang w:val="en-US" w:eastAsia="zh-CN"/>
              </w:rPr>
            </w:pPr>
            <w:r>
              <w:rPr>
                <w:rFonts w:hint="eastAsia" w:cs="仿宋_GB2312"/>
                <w:szCs w:val="32"/>
                <w:vertAlign w:val="baseline"/>
                <w:lang w:val="en-US" w:eastAsia="zh-CN"/>
              </w:rPr>
              <w:t>4</w:t>
            </w:r>
          </w:p>
        </w:tc>
        <w:tc>
          <w:tcPr>
            <w:tcW w:w="6135" w:type="dxa"/>
            <w:vAlign w:val="center"/>
          </w:tcPr>
          <w:p w14:paraId="58BD02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outlineLvl w:val="9"/>
              <w:rPr>
                <w:rFonts w:hint="default" w:cs="仿宋_GB2312"/>
                <w:szCs w:val="32"/>
                <w:vertAlign w:val="baseline"/>
                <w:lang w:val="en-US" w:eastAsia="zh-CN"/>
              </w:rPr>
            </w:pPr>
            <w:r>
              <w:rPr>
                <w:rFonts w:hint="eastAsia" w:cs="仿宋_GB2312"/>
                <w:szCs w:val="32"/>
                <w:vertAlign w:val="baseline"/>
                <w:lang w:val="en-US" w:eastAsia="zh-CN"/>
              </w:rPr>
              <w:t>村长、正副科级、正副处级、正副厅级、正副部级、正副国级的行政单位/事业单位/国企/军队文职行政管理人员，</w:t>
            </w:r>
            <w:r>
              <w:rPr>
                <w:rFonts w:hint="eastAsia" w:ascii="仿宋_GB2312" w:hAnsi="仿宋_GB2312" w:eastAsia="仿宋_GB2312" w:cs="仿宋_GB2312"/>
                <w:b w:val="0"/>
                <w:bCs/>
                <w:i w:val="0"/>
                <w:caps w:val="0"/>
                <w:color w:val="333333"/>
                <w:spacing w:val="0"/>
                <w:sz w:val="32"/>
                <w:szCs w:val="32"/>
                <w:lang w:val="en-US" w:eastAsia="zh-CN"/>
              </w:rPr>
              <w:t>少尉</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中尉</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上尉</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少校</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中校</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上校</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333333"/>
                <w:spacing w:val="0"/>
                <w:sz w:val="32"/>
                <w:szCs w:val="32"/>
                <w:lang w:val="en-US" w:eastAsia="zh-CN"/>
              </w:rPr>
              <w:t>大校</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262626"/>
                <w:spacing w:val="0"/>
                <w:sz w:val="32"/>
                <w:szCs w:val="32"/>
                <w:shd w:val="clear" w:fill="FFFFFF"/>
                <w:lang w:val="en-US" w:eastAsia="zh-CN"/>
              </w:rPr>
              <w:t>少将</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262626"/>
                <w:spacing w:val="0"/>
                <w:sz w:val="32"/>
                <w:szCs w:val="32"/>
                <w:shd w:val="clear" w:fill="FFFFFF"/>
                <w:lang w:val="en-US" w:eastAsia="zh-CN"/>
              </w:rPr>
              <w:t>中将</w:t>
            </w:r>
            <w:r>
              <w:rPr>
                <w:rFonts w:hint="eastAsia" w:cs="仿宋_GB2312"/>
                <w:szCs w:val="32"/>
                <w:vertAlign w:val="baseline"/>
                <w:lang w:val="en-US" w:eastAsia="zh-CN"/>
              </w:rPr>
              <w:t>、</w:t>
            </w:r>
            <w:r>
              <w:rPr>
                <w:rFonts w:hint="eastAsia" w:ascii="仿宋_GB2312" w:hAnsi="仿宋_GB2312" w:eastAsia="仿宋_GB2312" w:cs="仿宋_GB2312"/>
                <w:b w:val="0"/>
                <w:bCs/>
                <w:i w:val="0"/>
                <w:caps w:val="0"/>
                <w:color w:val="262626"/>
                <w:spacing w:val="0"/>
                <w:sz w:val="32"/>
                <w:szCs w:val="32"/>
                <w:shd w:val="clear" w:fill="FFFFFF"/>
                <w:lang w:val="en-US" w:eastAsia="zh-CN"/>
              </w:rPr>
              <w:t>上将</w:t>
            </w:r>
            <w:r>
              <w:rPr>
                <w:rFonts w:hint="eastAsia" w:cs="仿宋_GB2312"/>
                <w:szCs w:val="32"/>
                <w:vertAlign w:val="baseline"/>
                <w:lang w:val="en-US" w:eastAsia="zh-CN"/>
              </w:rPr>
              <w:t>职位的军队管理人员，在任职期间财产公布的税率</w:t>
            </w:r>
          </w:p>
        </w:tc>
        <w:tc>
          <w:tcPr>
            <w:tcW w:w="1393" w:type="dxa"/>
            <w:vAlign w:val="center"/>
          </w:tcPr>
          <w:p w14:paraId="68229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Fonts w:hint="default" w:cs="仿宋_GB2312"/>
                <w:szCs w:val="32"/>
                <w:vertAlign w:val="baseline"/>
                <w:lang w:val="en-US" w:eastAsia="zh-CN"/>
              </w:rPr>
            </w:pPr>
            <w:r>
              <w:rPr>
                <w:rFonts w:hint="eastAsia" w:cs="仿宋_GB2312"/>
                <w:szCs w:val="32"/>
                <w:vertAlign w:val="baseline"/>
                <w:lang w:val="en-US" w:eastAsia="zh-CN"/>
              </w:rPr>
              <w:t>10</w:t>
            </w:r>
          </w:p>
        </w:tc>
      </w:tr>
    </w:tbl>
    <w:p w14:paraId="4B2771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（注1</w:t>
      </w:r>
      <w:r>
        <w:rPr>
          <w:rFonts w:hint="eastAsia" w:cs="仿宋_GB2312"/>
          <w:kern w:val="0"/>
          <w:szCs w:val="32"/>
          <w:lang w:eastAsia="zh-CN"/>
        </w:rPr>
        <w:t>：</w:t>
      </w:r>
      <w:r>
        <w:rPr>
          <w:rFonts w:hint="eastAsia" w:ascii="Times New Roman" w:hAnsi="Times New Roman" w:eastAsia="仿宋_GB2312" w:cs="仿宋_GB2312"/>
          <w:kern w:val="0"/>
          <w:szCs w:val="32"/>
        </w:rPr>
        <w:t>本表所称全年应纳税所得额是指依照本法第六条的规定，居民个人取得综合所得以每一纳税年度收入额减除专项扣除、专项附加扣除和依法确定的其他扣除后的余额。</w:t>
      </w:r>
    </w:p>
    <w:p w14:paraId="229E66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注2</w:t>
      </w:r>
      <w:r>
        <w:rPr>
          <w:rFonts w:hint="eastAsia" w:cs="仿宋_GB2312"/>
          <w:kern w:val="0"/>
          <w:szCs w:val="32"/>
          <w:lang w:eastAsia="zh-CN"/>
        </w:rPr>
        <w:t>：</w:t>
      </w:r>
      <w:r>
        <w:rPr>
          <w:rFonts w:hint="eastAsia" w:ascii="Times New Roman" w:hAnsi="Times New Roman" w:eastAsia="仿宋_GB2312" w:cs="仿宋_GB2312"/>
          <w:kern w:val="0"/>
          <w:szCs w:val="32"/>
        </w:rPr>
        <w:t>非居民个人取得工资、薪金所得，劳务报酬</w:t>
      </w:r>
      <w:r>
        <w:rPr>
          <w:rFonts w:hint="eastAsia" w:cs="仿宋_GB2312"/>
          <w:kern w:val="0"/>
          <w:szCs w:val="32"/>
          <w:lang w:eastAsia="zh-CN"/>
        </w:rPr>
        <w:t>，</w:t>
      </w:r>
      <w:r>
        <w:rPr>
          <w:rFonts w:hint="eastAsia" w:cs="仿宋_GB2312"/>
          <w:kern w:val="0"/>
          <w:szCs w:val="32"/>
          <w:lang w:val="en-US" w:eastAsia="zh-CN"/>
        </w:rPr>
        <w:t>个人收款</w:t>
      </w:r>
      <w:r>
        <w:rPr>
          <w:rFonts w:hint="eastAsia" w:ascii="Times New Roman" w:hAnsi="Times New Roman" w:eastAsia="仿宋_GB2312" w:cs="仿宋_GB2312"/>
          <w:kern w:val="0"/>
          <w:szCs w:val="32"/>
        </w:rPr>
        <w:t>所得，稿酬所得和特许权使用费所得，依照本表按月换算后计算应纳税额。）</w:t>
      </w:r>
    </w:p>
    <w:p w14:paraId="6568F2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72E33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8D19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5783F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05783F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E4C1E">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92840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928404">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BB9B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6B8D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86839"/>
    <w:rsid w:val="00DC5C43"/>
    <w:rsid w:val="00DD0B8B"/>
    <w:rsid w:val="00E235DD"/>
    <w:rsid w:val="00E64956"/>
    <w:rsid w:val="00EE4F6D"/>
    <w:rsid w:val="00F00D39"/>
    <w:rsid w:val="00FA3C68"/>
    <w:rsid w:val="00FC68C1"/>
    <w:rsid w:val="030508EF"/>
    <w:rsid w:val="08210A6D"/>
    <w:rsid w:val="08AC1319"/>
    <w:rsid w:val="0B957AC8"/>
    <w:rsid w:val="0C4E6F56"/>
    <w:rsid w:val="0D2F2A95"/>
    <w:rsid w:val="17064A41"/>
    <w:rsid w:val="18690B0C"/>
    <w:rsid w:val="19F86B68"/>
    <w:rsid w:val="265B0DE9"/>
    <w:rsid w:val="2F7753E6"/>
    <w:rsid w:val="31A6066D"/>
    <w:rsid w:val="31A873D0"/>
    <w:rsid w:val="3258761C"/>
    <w:rsid w:val="44BC0EEC"/>
    <w:rsid w:val="482A39F4"/>
    <w:rsid w:val="4AD61D5E"/>
    <w:rsid w:val="518B4214"/>
    <w:rsid w:val="53F95ED0"/>
    <w:rsid w:val="56755F92"/>
    <w:rsid w:val="58474253"/>
    <w:rsid w:val="59EE02B2"/>
    <w:rsid w:val="62073B80"/>
    <w:rsid w:val="653A70E2"/>
    <w:rsid w:val="659A1472"/>
    <w:rsid w:val="6C1E17DE"/>
    <w:rsid w:val="6EEF1C12"/>
    <w:rsid w:val="70B61DB9"/>
    <w:rsid w:val="72406E3D"/>
    <w:rsid w:val="772D51B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2159</Words>
  <Characters>12310</Characters>
  <Lines>102</Lines>
  <Paragraphs>28</Paragraphs>
  <TotalTime>3</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2025-06-29T09:52:22Z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DB8BE10538F44B9EA1CC045E49881EBD_12</vt:lpwstr>
  </property>
</Properties>
</file>