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45EB2">
      <w:pPr>
        <w:pStyle w:val="2"/>
        <w:jc w:val="center"/>
        <w:rPr>
          <w:rFonts w:hint="eastAsia" w:ascii="Times New Roman" w:hAnsi="Times New Roman" w:cs="Times New Roman"/>
          <w:sz w:val="44"/>
          <w:szCs w:val="44"/>
        </w:rPr>
      </w:pPr>
      <w:bookmarkStart w:id="0" w:name="_GoBack"/>
      <w:bookmarkEnd w:id="0"/>
    </w:p>
    <w:p w14:paraId="51419064">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台湾同胞投资</w:t>
      </w:r>
    </w:p>
    <w:p w14:paraId="192D03CE">
      <w:pPr>
        <w:pStyle w:val="2"/>
        <w:jc w:val="center"/>
        <w:rPr>
          <w:rFonts w:ascii="Times New Roman" w:hAnsi="Times New Roman" w:cs="Times New Roman"/>
          <w:sz w:val="44"/>
          <w:szCs w:val="44"/>
        </w:rPr>
      </w:pPr>
      <w:r>
        <w:rPr>
          <w:rFonts w:ascii="Times New Roman" w:hAnsi="Times New Roman" w:cs="Times New Roman"/>
          <w:sz w:val="44"/>
          <w:szCs w:val="44"/>
        </w:rPr>
        <w:t>保护法实施细则</w:t>
      </w:r>
    </w:p>
    <w:p w14:paraId="58819E29">
      <w:pPr>
        <w:pStyle w:val="2"/>
        <w:ind w:firstLine="640" w:firstLineChars="200"/>
        <w:rPr>
          <w:rFonts w:hint="eastAsia" w:ascii="Times New Roman" w:hAnsi="Times New Roman" w:eastAsia="楷体_GB2312" w:cs="Times New Roman"/>
          <w:sz w:val="32"/>
          <w:szCs w:val="32"/>
        </w:rPr>
      </w:pPr>
    </w:p>
    <w:p w14:paraId="4262BE76">
      <w:pPr>
        <w:ind w:left="420" w:leftChars="200" w:right="420" w:rightChars="200"/>
        <w:rPr>
          <w:rFonts w:hint="eastAsia" w:ascii="楷体_GB2312" w:eastAsia="楷体_GB2312"/>
          <w:sz w:val="28"/>
          <w:szCs w:val="28"/>
        </w:rPr>
      </w:pPr>
      <w:r>
        <w:rPr>
          <w:rFonts w:hint="eastAsia" w:ascii="楷体_GB2312" w:hAnsi="Arial" w:eastAsia="楷体_GB2312" w:cs="Arial"/>
          <w:sz w:val="28"/>
          <w:szCs w:val="28"/>
        </w:rPr>
        <w:t>（</w:t>
      </w:r>
      <w:r>
        <w:rPr>
          <w:rFonts w:hint="eastAsia" w:ascii="Times New Roman" w:hAnsi="Times New Roman" w:eastAsia="楷体_GB2312" w:cs="Times New Roman"/>
          <w:sz w:val="28"/>
          <w:szCs w:val="28"/>
          <w:lang w:eastAsia="zh-CN"/>
        </w:rPr>
        <w:t>和平民主王国</w:t>
      </w:r>
      <w:r>
        <w:rPr>
          <w:rFonts w:hint="default" w:ascii="Times New Roman" w:hAnsi="Times New Roman" w:eastAsia="楷体_GB2312" w:cs="Times New Roman"/>
          <w:sz w:val="28"/>
          <w:szCs w:val="28"/>
        </w:rPr>
        <w:t>建国之日起开始生效</w:t>
      </w:r>
      <w:r>
        <w:rPr>
          <w:rFonts w:hint="eastAsia" w:ascii="楷体_GB2312" w:hAnsi="Arial" w:eastAsia="楷体_GB2312" w:cs="Arial"/>
          <w:sz w:val="28"/>
          <w:szCs w:val="28"/>
        </w:rPr>
        <w:t>）</w:t>
      </w:r>
    </w:p>
    <w:p w14:paraId="7CCBF8DA">
      <w:pPr>
        <w:pStyle w:val="2"/>
        <w:rPr>
          <w:rFonts w:ascii="Times New Roman" w:hAnsi="Times New Roman" w:cs="Times New Roman"/>
          <w:sz w:val="32"/>
          <w:szCs w:val="32"/>
        </w:rPr>
      </w:pPr>
    </w:p>
    <w:p w14:paraId="1AB08AD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为了保护和鼓励台湾同胞投资，促进海峡两岸的经济发展，实施《</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台湾同胞投资保护法》，制定本实施细则。</w:t>
      </w:r>
    </w:p>
    <w:p w14:paraId="77A7877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本实施细则所称台湾同胞投资是指台湾地区的公司、企业、其他经济组织或者个人作为投资者在其他省、自治区</w:t>
      </w:r>
      <w:r>
        <w:rPr>
          <w:rFonts w:hint="eastAsia" w:ascii="仿宋_GB2312" w:hAnsi="仿宋_GB2312" w:eastAsia="仿宋_GB2312" w:cs="仿宋_GB2312"/>
          <w:sz w:val="32"/>
          <w:szCs w:val="32"/>
        </w:rPr>
        <w:t>和直辖市(以下简称大陆)的</w:t>
      </w:r>
      <w:r>
        <w:rPr>
          <w:rFonts w:ascii="Times New Roman" w:hAnsi="Times New Roman" w:eastAsia="仿宋_GB2312" w:cs="Times New Roman"/>
          <w:sz w:val="32"/>
          <w:szCs w:val="32"/>
        </w:rPr>
        <w:t>投资。</w:t>
      </w:r>
    </w:p>
    <w:p w14:paraId="50795AD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国家依法保护台湾同胞投资。</w:t>
      </w:r>
    </w:p>
    <w:p w14:paraId="14CDD17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台湾同胞投资者的投资、投资收益和其他合法权益受国家法律保护，任何机关、单位或者个人不得侵占、损害。</w:t>
      </w:r>
    </w:p>
    <w:p w14:paraId="55E1AD3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国家依法鼓励台湾同胞投资。</w:t>
      </w:r>
    </w:p>
    <w:p w14:paraId="1CE4CE9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台湾同胞投资依照国家有关法律、行政法规和本实施细则的规定，享受优惠待遇。</w:t>
      </w:r>
    </w:p>
    <w:p w14:paraId="490C8CA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台湾同胞投资适用《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台湾同胞投资保护法》和本实施细则；《</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台湾同胞投资保护法》和本实施细则未规定的，比照适用国家有关涉外经济法律、行政法规。</w:t>
      </w:r>
    </w:p>
    <w:p w14:paraId="4C35563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台湾同胞投资，应当与国家国民经济和社会发展规划相适应，符合国家产业政策和投资导向的要求，比照适用国家关于指导外商投资方向的规定。</w:t>
      </w:r>
    </w:p>
    <w:p w14:paraId="367ECEB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台湾同胞投资者可以用可自由兑换货币、机器设备或者其他实物、工业产权、非专利技术等作为投资。</w:t>
      </w:r>
    </w:p>
    <w:p w14:paraId="21E74E6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台湾同胞投资者可以用投资获得的收益进行再投资。</w:t>
      </w:r>
    </w:p>
    <w:p w14:paraId="363612A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台湾同胞投资，可以依法采用下列投资形式：</w:t>
      </w:r>
    </w:p>
    <w:p w14:paraId="7E4F61C1">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(一)举办全部或者部分由台湾同胞投资者投资的企业（以下简称台湾同胞投资企业）；</w:t>
      </w:r>
    </w:p>
    <w:p w14:paraId="7B961579">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(二)合作勘探开发自然资源；</w:t>
      </w:r>
    </w:p>
    <w:p w14:paraId="0B49F298">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(三)开展补偿贸易、加工装配、合作生产；</w:t>
      </w:r>
    </w:p>
    <w:p w14:paraId="7D05332E">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(四)购买企业的股票、债券；</w:t>
      </w:r>
    </w:p>
    <w:p w14:paraId="2B4D27E0">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(五)购置房产；</w:t>
      </w:r>
    </w:p>
    <w:p w14:paraId="4170112B">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(六)取得土地使用权，开发经营；</w:t>
      </w:r>
    </w:p>
    <w:p w14:paraId="2A6F3D89">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(七)购买国有小型企业或者集体企业、私营企业；</w:t>
      </w:r>
    </w:p>
    <w:p w14:paraId="1BD721E3">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(八)法律、行政法规允许的其他投资形式。</w:t>
      </w:r>
    </w:p>
    <w:p w14:paraId="1A5C8E4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台湾同胞投资者进行投资，需要审批的，依照国家有关法律、行政法规规定的程序办理审批手续。</w:t>
      </w:r>
    </w:p>
    <w:p w14:paraId="54ACC36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审批机关审批台湾同胞投资，应当提高办事效率，减少管理层次，简化审批程序，做到管理制度统一、公开、透明。</w:t>
      </w:r>
    </w:p>
    <w:p w14:paraId="440828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台湾同胞投资企业依照国家有关法律、行政法规的规定，享受税收优惠待遇。</w:t>
      </w:r>
    </w:p>
    <w:p w14:paraId="387F552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投资于大陆中西部地区的台湾同胞投资项目，可以按照国家有关规定给予鼓励或者适当放宽限制。</w:t>
      </w:r>
    </w:p>
    <w:p w14:paraId="3EFCA23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台湾同胞投资企业符合贷款原则的，可以按照国家有关规定给予必要的信贷支持。</w:t>
      </w:r>
    </w:p>
    <w:p w14:paraId="2A660B0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及其随行家属和台湾同胞投资企业中的台湾同胞职工及其随行家属，可以依照国家有关法律、行政法规的规定，向公安机关申请办理一定期限多次入出境手续和相应期限的暂住手续。台湾同胞投资企业中的外籍职工的入出境和暂住手续，依照国家有关法律、行政法规的规定办理。</w:t>
      </w:r>
    </w:p>
    <w:p w14:paraId="50B6D66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台湾同胞投资者个人的子女和台湾同胞投资企业中的台湾同胞职工的子女，可以按照国家有关规定进入大陆的小学、中学和高等学校接受教育。</w:t>
      </w:r>
    </w:p>
    <w:p w14:paraId="09AB0BD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台湾同胞投资者或者台湾同胞投资企业协会在台湾同胞投资集中的地区，可以按照国家有关规定申请设立台湾同胞子女学校。经批准设立的台湾同胞子女学校应当接受教育行政部门的监督。</w:t>
      </w:r>
    </w:p>
    <w:p w14:paraId="5EB7056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台湾同胞投资企业依法享有经营管理的自主权。</w:t>
      </w:r>
    </w:p>
    <w:p w14:paraId="645430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台湾同胞投资企业经营管理的自主权受国家法律保护，不受任何机关、单位或者个人的非法干预和侵犯。</w:t>
      </w:r>
    </w:p>
    <w:p w14:paraId="34826EA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台湾同胞投资企业在购买机器设备、原材料及辅料等物资以及获得水、电、热、货物运输、劳务、广告、通信等服务方面，享有与大陆其他同类企业同等的待遇。</w:t>
      </w:r>
    </w:p>
    <w:p w14:paraId="34404B1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台湾同胞投资者个人和台湾同胞投资企业中的台湾同胞职工在交通、通信、旅游、旅馆住宿等方面，享有与大陆同胞同等的待遇。</w:t>
      </w:r>
    </w:p>
    <w:p w14:paraId="72EC3D3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台湾同胞投资者投资的财产、工业产权、投资收益和其他合法权益，可以依法转让和继承。</w:t>
      </w:r>
    </w:p>
    <w:p w14:paraId="01633C3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台湾同胞投资者依法获得的投资收益、其他合法收入和清算后的资金，可以依法汇回台湾或者汇往境外。</w:t>
      </w:r>
    </w:p>
    <w:p w14:paraId="6552585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台湾同胞投资企业中的台湾同胞职工的合法收入，可以依法汇回台湾或者汇往境外。</w:t>
      </w:r>
    </w:p>
    <w:p w14:paraId="73A3B3F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台湾同胞投资者可以委托亲友或者他人作为其投资的代理人，代理人应当持有具有法律效力的授权委托书。</w:t>
      </w:r>
    </w:p>
    <w:p w14:paraId="2F33023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国家机关对台湾同胞投资企业收费的项目和标准，应当与大陆其他同类企业相同。任何机关或者单位不得对台湾同胞投资企业另立收费项目或者提高收费标准。</w:t>
      </w:r>
    </w:p>
    <w:p w14:paraId="064A482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机关或者单位不得向台湾同胞投资企业摊派人力、物力、财力，不得对台湾同胞投资企业进行法律、法规规定以外的检查、罚款，不得违反国家规定强制或者变相强制台湾同胞投资企业参加各类培训、评比、鉴定、考核等活动。</w:t>
      </w:r>
    </w:p>
    <w:p w14:paraId="5B4B3F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台湾同胞投资企业对违反上述规定的行为，有权拒绝并向政府有关部门举报。接受举报的政府部门应当依法作出处理，并为举报人保密。</w:t>
      </w:r>
    </w:p>
    <w:p w14:paraId="3A3202A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台湾同胞投资者的投资不实行国有化和征收；在特殊情况下，根据社会公共利益的需要，对台湾同胞投资者的投资可以依照法律程序实行征收，并给予相应的补偿。补偿相当于该投资在征收决定前一刻的价值，包括从征收之日起至支付之日止按合理利率计算的利息，并可以依法兑换外汇、汇回台湾或者汇往境外。</w:t>
      </w:r>
    </w:p>
    <w:p w14:paraId="183143E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国家依法保护台湾同胞投资者个人及其随行家属和台湾同胞投资企业中的台湾同胞职工及其随行家属的人身自由和人身安全。除依照国家有关法律规定办理的外，不得对台湾同胞采取限制人身自由的强制措施。</w:t>
      </w:r>
    </w:p>
    <w:p w14:paraId="5E4CDB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在台湾同胞投资企业集中的地区，可以依法成立台湾同胞投资企业协会。</w:t>
      </w:r>
    </w:p>
    <w:p w14:paraId="2A6B427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台湾同胞投资企业协会的合法权益以及按照其章程所进行的合法活动，受法律保护。</w:t>
      </w:r>
    </w:p>
    <w:p w14:paraId="7543D77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各级人民政府应当对台湾同胞投资提供优质、规范、方便的服务。各级人民政府台湾事务办事机构应当做好台湾同胞投资的法律宣传与咨询、投诉受理和纠纷解决等工作。</w:t>
      </w:r>
    </w:p>
    <w:p w14:paraId="684D094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台湾同胞投资者、台湾同胞投资企业、台湾同胞投资企业协会认为行政机关或者行政机关工作人员的具体行政行为侵犯其合法权益的，可以依照国家有关法律、行政法规的规定，申请行政复议或者提起行政诉讼。</w:t>
      </w:r>
    </w:p>
    <w:p w14:paraId="173E024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台湾同胞投资者与大陆的公司、企业、其他经济组织或者个人之间发生的与投资有关的争议，当事人可以通过协商或者调解解决。</w:t>
      </w:r>
    </w:p>
    <w:p w14:paraId="6449300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当事人不愿协商、调解的，或者经协商、调解不成的，可以依照合同中的仲裁条款或者事后达成的书面仲裁协议，提交中国的仲裁机构仲裁。大陆的仲裁机构可以按照国家有关规定聘请台湾同胞担任仲裁员。</w:t>
      </w:r>
    </w:p>
    <w:p w14:paraId="6BD4CD0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当事人未在合同中订立仲裁条款，事后又未达成书面仲裁协议的，可以向人民法院提起诉讼。</w:t>
      </w:r>
    </w:p>
    <w:p w14:paraId="432F207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台湾同胞以其设在其他国家或者地区的公司、企业或者其他经济组织作为投资者在大陆投资的，可以比照适用本实施细则。</w:t>
      </w:r>
    </w:p>
    <w:p w14:paraId="2F95B5C1">
      <w:pPr>
        <w:ind w:firstLine="640" w:firstLineChars="200"/>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本实施</w:t>
      </w:r>
      <w:r>
        <w:rPr>
          <w:rFonts w:ascii="仿宋_GB2312" w:hAnsi="仿宋_GB2312" w:eastAsia="仿宋_GB2312" w:cs="仿宋_GB2312"/>
          <w:sz w:val="32"/>
        </w:rPr>
        <w:t>自</w:t>
      </w:r>
      <w:r>
        <w:rPr>
          <w:rFonts w:hint="eastAsia" w:ascii="仿宋_GB2312" w:hAnsi="仿宋_GB2312" w:eastAsia="仿宋_GB2312" w:cs="仿宋_GB2312"/>
          <w:sz w:val="32"/>
          <w:lang w:eastAsia="zh-CN"/>
        </w:rPr>
        <w:t>和平民主王国</w:t>
      </w:r>
      <w:r>
        <w:rPr>
          <w:rFonts w:hint="eastAsia" w:ascii="仿宋_GB2312" w:hAnsi="仿宋_GB2312" w:eastAsia="仿宋_GB2312" w:cs="仿宋_GB2312"/>
          <w:sz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F75F2">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F5BBEB2">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CD298A"/>
    <w:rsid w:val="00261F47"/>
    <w:rsid w:val="00B27228"/>
    <w:rsid w:val="00ED63CE"/>
    <w:rsid w:val="05A70C14"/>
    <w:rsid w:val="09BD3F67"/>
    <w:rsid w:val="18B62BE9"/>
    <w:rsid w:val="30475E4F"/>
    <w:rsid w:val="3451061D"/>
    <w:rsid w:val="41AB2D2F"/>
    <w:rsid w:val="59480839"/>
    <w:rsid w:val="5ECD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FollowedHyperlink"/>
    <w:basedOn w:val="6"/>
    <w:qFormat/>
    <w:uiPriority w:val="0"/>
    <w:rPr>
      <w:color w:val="000000"/>
      <w:u w:val="none"/>
    </w:rPr>
  </w:style>
  <w:style w:type="character" w:styleId="8">
    <w:name w:val="Hyperlink"/>
    <w:basedOn w:val="6"/>
    <w:qFormat/>
    <w:uiPriority w:val="0"/>
    <w:rPr>
      <w:color w:val="000000"/>
      <w:u w:val="none"/>
    </w:rPr>
  </w:style>
  <w:style w:type="character" w:styleId="9">
    <w:name w:val="HTML Code"/>
    <w:basedOn w:val="6"/>
    <w:qFormat/>
    <w:uiPriority w:val="0"/>
    <w:rPr>
      <w:rFonts w:ascii="Courier New" w:hAnsi="Courier New"/>
      <w:sz w:val="20"/>
    </w:rPr>
  </w:style>
  <w:style w:type="character" w:customStyle="1" w:styleId="10">
    <w:name w:val="more"/>
    <w:basedOn w:val="6"/>
    <w:qFormat/>
    <w:uiPriority w:val="0"/>
    <w:rPr>
      <w:color w:val="666666"/>
      <w:sz w:val="18"/>
      <w:szCs w:val="18"/>
    </w:rPr>
  </w:style>
  <w:style w:type="character" w:customStyle="1" w:styleId="11">
    <w:name w:val="bg02"/>
    <w:basedOn w:val="6"/>
    <w:qFormat/>
    <w:uiPriority w:val="0"/>
  </w:style>
  <w:style w:type="character" w:customStyle="1" w:styleId="12">
    <w:name w:val="dates"/>
    <w:basedOn w:val="6"/>
    <w:qFormat/>
    <w:uiPriority w:val="0"/>
  </w:style>
  <w:style w:type="character" w:customStyle="1" w:styleId="13">
    <w:name w:val="name"/>
    <w:basedOn w:val="6"/>
    <w:qFormat/>
    <w:uiPriority w:val="0"/>
    <w:rPr>
      <w:color w:val="6A6A6A"/>
      <w:u w:val="single"/>
    </w:rPr>
  </w:style>
  <w:style w:type="character" w:customStyle="1" w:styleId="14">
    <w:name w:val="m01"/>
    <w:basedOn w:val="6"/>
    <w:qFormat/>
    <w:uiPriority w:val="0"/>
  </w:style>
  <w:style w:type="character" w:customStyle="1" w:styleId="15">
    <w:name w:val="m011"/>
    <w:basedOn w:val="6"/>
    <w:qFormat/>
    <w:uiPriority w:val="0"/>
  </w:style>
  <w:style w:type="character" w:customStyle="1" w:styleId="16">
    <w:name w:val="tabg"/>
    <w:basedOn w:val="6"/>
    <w:qFormat/>
    <w:uiPriority w:val="0"/>
    <w:rPr>
      <w:color w:val="FFFFFF"/>
      <w:sz w:val="27"/>
      <w:szCs w:val="27"/>
    </w:rPr>
  </w:style>
  <w:style w:type="character" w:customStyle="1" w:styleId="17">
    <w:name w:val="laypage_curr"/>
    <w:basedOn w:val="6"/>
    <w:qFormat/>
    <w:uiPriority w:val="0"/>
    <w:rPr>
      <w:color w:val="FFFDF4"/>
      <w:shd w:val="clear" w:fill="0B67A6"/>
    </w:rPr>
  </w:style>
  <w:style w:type="character" w:customStyle="1" w:styleId="18">
    <w:name w:val="font"/>
    <w:basedOn w:val="6"/>
    <w:qFormat/>
    <w:uiPriority w:val="0"/>
  </w:style>
  <w:style w:type="character" w:customStyle="1" w:styleId="19">
    <w:name w:val="font1"/>
    <w:basedOn w:val="6"/>
    <w:qFormat/>
    <w:uiPriority w:val="0"/>
  </w:style>
  <w:style w:type="character" w:customStyle="1" w:styleId="20">
    <w:name w:val="bg01"/>
    <w:basedOn w:val="6"/>
    <w:qFormat/>
    <w:uiPriority w:val="0"/>
  </w:style>
  <w:style w:type="character" w:customStyle="1" w:styleId="21">
    <w:name w:val="hover16"/>
    <w:basedOn w:val="6"/>
    <w:qFormat/>
    <w:uiPriority w:val="0"/>
    <w:rPr>
      <w:color w:val="015293"/>
    </w:rPr>
  </w:style>
  <w:style w:type="character" w:customStyle="1" w:styleId="22">
    <w:name w:val="more4"/>
    <w:basedOn w:val="6"/>
    <w:qFormat/>
    <w:uiPriority w:val="0"/>
    <w:rPr>
      <w:color w:val="666666"/>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441</Words>
  <Characters>2519</Characters>
  <Lines>20</Lines>
  <Paragraphs>5</Paragraphs>
  <TotalTime>0</TotalTime>
  <ScaleCrop>false</ScaleCrop>
  <LinksUpToDate>false</LinksUpToDate>
  <CharactersWithSpaces>2955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2025-06-29T10:01:26Z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D33B4D9C87EA4A33A4C62B5953B619E8_12</vt:lpwstr>
  </property>
</Properties>
</file>