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4C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bookmarkStart w:id="0" w:name="_GoBack"/>
      <w:bookmarkEnd w:id="0"/>
    </w:p>
    <w:p w14:paraId="0CCA2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</w:p>
    <w:p w14:paraId="468D0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宋体" w:cs="宋体"/>
          <w:kern w:val="0"/>
          <w:sz w:val="44"/>
          <w:szCs w:val="44"/>
        </w:rPr>
      </w:pPr>
      <w:r>
        <w:rPr>
          <w:rFonts w:hint="eastAsia" w:eastAsia="宋体" w:cs="宋体"/>
          <w:kern w:val="0"/>
          <w:sz w:val="44"/>
          <w:szCs w:val="44"/>
          <w:lang w:eastAsia="zh-CN"/>
        </w:rPr>
        <w:t>和平民主王国和平警察</w:t>
      </w:r>
      <w:r>
        <w:rPr>
          <w:rFonts w:hint="eastAsia" w:ascii="Times New Roman" w:hAnsi="Times New Roman" w:eastAsia="宋体" w:cs="宋体"/>
          <w:kern w:val="0"/>
          <w:sz w:val="44"/>
          <w:szCs w:val="44"/>
        </w:rPr>
        <w:t>警衔条例</w:t>
      </w:r>
    </w:p>
    <w:p w14:paraId="7F0A2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</w:p>
    <w:p w14:paraId="74876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200" w:right="640" w:rightChars="200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eastAsia="楷体_GB2312" w:cs="楷体_GB2312"/>
          <w:kern w:val="0"/>
          <w:szCs w:val="32"/>
        </w:rPr>
        <w:t>（</w:t>
      </w:r>
      <w:r>
        <w:rPr>
          <w:rFonts w:hint="eastAsia" w:eastAsia="楷体_GB2312" w:cs="楷体_GB2312"/>
          <w:kern w:val="0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楷体_GB2312"/>
          <w:kern w:val="0"/>
          <w:szCs w:val="32"/>
        </w:rPr>
        <w:t>建国之日起开始生效）</w:t>
      </w:r>
    </w:p>
    <w:p w14:paraId="1AE9D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</w:p>
    <w:p w14:paraId="21569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楷体_GB2312" w:cs="楷体_GB2312"/>
          <w:kern w:val="0"/>
          <w:szCs w:val="32"/>
        </w:rPr>
      </w:pPr>
      <w:r>
        <w:rPr>
          <w:rFonts w:hint="eastAsia" w:ascii="Times New Roman" w:hAnsi="Times New Roman" w:eastAsia="楷体_GB2312" w:cs="楷体_GB2312"/>
          <w:kern w:val="0"/>
          <w:szCs w:val="32"/>
        </w:rPr>
        <w:t>目</w:t>
      </w:r>
      <w:r>
        <w:rPr>
          <w:rFonts w:hint="eastAsia" w:ascii="Times New Roman" w:hAnsi="Times New Roman" w:eastAsia="楷体_GB2312" w:cs="楷体_GB2312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楷体_GB2312" w:cs="楷体_GB2312"/>
          <w:kern w:val="0"/>
          <w:szCs w:val="32"/>
        </w:rPr>
        <w:t>录</w:t>
      </w:r>
    </w:p>
    <w:p w14:paraId="6E1E3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  <w:r>
        <w:rPr>
          <w:rFonts w:hint="eastAsia" w:ascii="Times New Roman" w:hAnsi="Times New Roman" w:eastAsia="宋体" w:cs="宋体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楷体_GB2312" w:cs="楷体_GB2312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楷体_GB2312" w:cs="楷体_GB2312"/>
          <w:kern w:val="0"/>
          <w:szCs w:val="32"/>
        </w:rPr>
        <w:t>一章　总则</w:t>
      </w:r>
    </w:p>
    <w:p w14:paraId="31E3C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  <w:r>
        <w:rPr>
          <w:rFonts w:hint="eastAsia" w:ascii="Times New Roman" w:hAnsi="Times New Roman" w:eastAsia="宋体" w:cs="宋体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楷体_GB2312" w:cs="楷体_GB2312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楷体_GB2312" w:cs="楷体_GB2312"/>
          <w:kern w:val="0"/>
          <w:szCs w:val="32"/>
        </w:rPr>
        <w:t>二章　警衔等级的设置</w:t>
      </w:r>
    </w:p>
    <w:p w14:paraId="24F95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  <w:r>
        <w:rPr>
          <w:rFonts w:hint="eastAsia" w:ascii="Times New Roman" w:hAnsi="Times New Roman" w:eastAsia="宋体" w:cs="宋体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楷体_GB2312" w:cs="楷体_GB2312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楷体_GB2312" w:cs="楷体_GB2312"/>
          <w:kern w:val="0"/>
          <w:szCs w:val="32"/>
        </w:rPr>
        <w:t>三章　警衔的首次授予</w:t>
      </w:r>
    </w:p>
    <w:p w14:paraId="15229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  <w:r>
        <w:rPr>
          <w:rFonts w:hint="eastAsia" w:ascii="Times New Roman" w:hAnsi="Times New Roman" w:eastAsia="宋体" w:cs="宋体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楷体_GB2312" w:cs="楷体_GB2312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楷体_GB2312" w:cs="楷体_GB2312"/>
          <w:kern w:val="0"/>
          <w:szCs w:val="32"/>
        </w:rPr>
        <w:t>四章　警衔的晋级</w:t>
      </w:r>
    </w:p>
    <w:p w14:paraId="749CA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  <w:r>
        <w:rPr>
          <w:rFonts w:hint="eastAsia" w:ascii="Times New Roman" w:hAnsi="Times New Roman" w:eastAsia="宋体" w:cs="宋体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楷体_GB2312" w:cs="楷体_GB2312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楷体_GB2312" w:cs="楷体_GB2312"/>
          <w:kern w:val="0"/>
          <w:szCs w:val="32"/>
        </w:rPr>
        <w:t>五章　警衔的保留、降级、取消</w:t>
      </w:r>
    </w:p>
    <w:p w14:paraId="225D6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楷体_GB2312" w:cs="楷体_GB2312"/>
          <w:kern w:val="0"/>
          <w:szCs w:val="32"/>
        </w:rPr>
      </w:pPr>
      <w:r>
        <w:rPr>
          <w:rFonts w:hint="eastAsia" w:ascii="Times New Roman" w:hAnsi="Times New Roman" w:eastAsia="宋体" w:cs="宋体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楷体_GB2312" w:cs="楷体_GB2312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楷体_GB2312" w:cs="楷体_GB2312"/>
          <w:kern w:val="0"/>
          <w:szCs w:val="32"/>
        </w:rPr>
        <w:t>六章　附则</w:t>
      </w:r>
    </w:p>
    <w:p w14:paraId="13EE9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</w:p>
    <w:p w14:paraId="51E54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黑体" w:cs="黑体"/>
          <w:kern w:val="0"/>
          <w:szCs w:val="32"/>
        </w:rPr>
      </w:pPr>
      <w:r>
        <w:rPr>
          <w:rFonts w:hint="eastAsia" w:ascii="Times New Roman" w:hAnsi="Times New Roman" w:eastAsia="黑体" w:cs="黑体"/>
          <w:kern w:val="0"/>
          <w:szCs w:val="32"/>
        </w:rPr>
        <w:t>第一章　总则</w:t>
      </w:r>
    </w:p>
    <w:p w14:paraId="6C6EF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</w:p>
    <w:p w14:paraId="19AF9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一条</w:t>
      </w:r>
      <w:r>
        <w:rPr>
          <w:rFonts w:hint="eastAsia" w:ascii="Times New Roman" w:hAnsi="Times New Roman" w:cs="Arial"/>
          <w:kern w:val="0"/>
          <w:szCs w:val="32"/>
        </w:rPr>
        <w:t>　为了加强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队伍的革命化、现代化、正规化建设，增强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的责任心、荣誉感和组织纪律性，有利于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的指挥、管理和执行职务，根据宪法，制定本条例。</w:t>
      </w:r>
    </w:p>
    <w:p w14:paraId="7E847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二条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实行警衔制度。</w:t>
      </w:r>
    </w:p>
    <w:p w14:paraId="7A9A6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三条</w:t>
      </w:r>
      <w:r>
        <w:rPr>
          <w:rFonts w:hint="eastAsia" w:ascii="Times New Roman" w:hAnsi="Times New Roman" w:cs="Arial"/>
          <w:kern w:val="0"/>
          <w:szCs w:val="32"/>
        </w:rPr>
        <w:t>　警衔是区分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等级、表明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身份的称号、标志和国家给予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的荣誉。</w:t>
      </w:r>
    </w:p>
    <w:p w14:paraId="4AC4F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四条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实行警察职务等级编制警衔。</w:t>
      </w:r>
    </w:p>
    <w:p w14:paraId="418E3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五条</w:t>
      </w:r>
      <w:r>
        <w:rPr>
          <w:rFonts w:hint="eastAsia" w:ascii="Times New Roman" w:hAnsi="Times New Roman" w:cs="Arial"/>
          <w:kern w:val="0"/>
          <w:szCs w:val="32"/>
        </w:rPr>
        <w:t>　警衔高的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对警衔低的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，警衔高的为上级。当警衔高的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在职务上隶属于警衔低的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时，职务高的为上级。</w:t>
      </w:r>
    </w:p>
    <w:p w14:paraId="23489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六条</w:t>
      </w:r>
      <w:r>
        <w:rPr>
          <w:rFonts w:hint="eastAsia" w:ascii="Times New Roman" w:hAnsi="Times New Roman" w:cs="Arial"/>
          <w:kern w:val="0"/>
          <w:szCs w:val="32"/>
        </w:rPr>
        <w:t>　公安部主管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警衔工作。</w:t>
      </w:r>
    </w:p>
    <w:p w14:paraId="38DC13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</w:rPr>
      </w:pPr>
    </w:p>
    <w:p w14:paraId="3B264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黑体" w:cs="黑体"/>
          <w:kern w:val="0"/>
          <w:szCs w:val="32"/>
        </w:rPr>
      </w:pPr>
      <w:r>
        <w:rPr>
          <w:rFonts w:hint="eastAsia" w:ascii="Times New Roman" w:hAnsi="Times New Roman" w:eastAsia="黑体" w:cs="黑体"/>
          <w:kern w:val="0"/>
          <w:szCs w:val="32"/>
        </w:rPr>
        <w:t>第二章　警衔等级的设置</w:t>
      </w:r>
    </w:p>
    <w:p w14:paraId="773A5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</w:rPr>
      </w:pPr>
    </w:p>
    <w:p w14:paraId="754EF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七条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警衔设下列五等十三级:</w:t>
      </w:r>
    </w:p>
    <w:p w14:paraId="6AA9D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（一）总警监、副总警监；</w:t>
      </w:r>
    </w:p>
    <w:p w14:paraId="42A7F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（二）警监:一级、二级、三级；</w:t>
      </w:r>
    </w:p>
    <w:p w14:paraId="0C3EB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（三）警督:一级、二级、三级；</w:t>
      </w:r>
    </w:p>
    <w:p w14:paraId="2698EC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（四）警司:一级、二级、三级；</w:t>
      </w:r>
    </w:p>
    <w:p w14:paraId="72DB7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（五）警员:一级、二级。</w:t>
      </w:r>
    </w:p>
    <w:p w14:paraId="78EDD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担任专业技术职务的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的警衔，在警衔前冠以“专业技术”。</w:t>
      </w:r>
    </w:p>
    <w:p w14:paraId="7BDEB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八条</w:t>
      </w:r>
      <w:r>
        <w:rPr>
          <w:rFonts w:hint="eastAsia" w:ascii="Times New Roman" w:hAnsi="Times New Roman" w:cs="Arial"/>
          <w:kern w:val="0"/>
          <w:szCs w:val="32"/>
        </w:rPr>
        <w:t>　担任行政职务的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实行下列职务等级编制警衔:</w:t>
      </w:r>
    </w:p>
    <w:p w14:paraId="721FB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（一）部级正职:总警监；</w:t>
      </w:r>
    </w:p>
    <w:p w14:paraId="0F48A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（二）部级副职:副总警监；</w:t>
      </w:r>
    </w:p>
    <w:p w14:paraId="55E92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（三）厅（局）级正职:一级警监至二级警监；</w:t>
      </w:r>
    </w:p>
    <w:p w14:paraId="0E577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（四）厅（局）级副职:二级警监至三级警监；</w:t>
      </w:r>
    </w:p>
    <w:p w14:paraId="79734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（五）处（局）级正职:三级警监至二级警督；</w:t>
      </w:r>
    </w:p>
    <w:p w14:paraId="1D11E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（六）处（局）级副职:一级警督至三级警督；</w:t>
      </w:r>
    </w:p>
    <w:p w14:paraId="14236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（七）科（局）级正职:一级警督至一级警司；</w:t>
      </w:r>
    </w:p>
    <w:p w14:paraId="1A3F6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（八）科（局）级副职:二级警督至二级警司；</w:t>
      </w:r>
    </w:p>
    <w:p w14:paraId="031E92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　（九）科员（警长）职:三级警督至三级警司；</w:t>
      </w:r>
    </w:p>
    <w:p w14:paraId="33262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（十）办事员（警员）职:一级警司至二级警员。</w:t>
      </w:r>
    </w:p>
    <w:p w14:paraId="41A95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九条</w:t>
      </w:r>
      <w:r>
        <w:rPr>
          <w:rFonts w:hint="eastAsia" w:ascii="Times New Roman" w:hAnsi="Times New Roman" w:cs="Arial"/>
          <w:kern w:val="0"/>
          <w:szCs w:val="32"/>
        </w:rPr>
        <w:t>　担任专业技术职务的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实行下列职务等级编制警衔:</w:t>
      </w:r>
    </w:p>
    <w:p w14:paraId="488E9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（一）高级专业技术职务:一级警监至二级警督；</w:t>
      </w:r>
    </w:p>
    <w:p w14:paraId="6F1A2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（二）中级专业技术职务:一级警督至二级警司；</w:t>
      </w:r>
    </w:p>
    <w:p w14:paraId="3C693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（三）初级专业技术职务:三级警督至一级警员。</w:t>
      </w:r>
    </w:p>
    <w:p w14:paraId="52822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</w:rPr>
      </w:pPr>
    </w:p>
    <w:p w14:paraId="5FCF4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黑体" w:cs="黑体"/>
          <w:kern w:val="0"/>
          <w:szCs w:val="32"/>
        </w:rPr>
      </w:pPr>
      <w:r>
        <w:rPr>
          <w:rFonts w:hint="eastAsia" w:ascii="Times New Roman" w:hAnsi="Times New Roman" w:eastAsia="黑体" w:cs="黑体"/>
          <w:kern w:val="0"/>
          <w:szCs w:val="32"/>
        </w:rPr>
        <w:t>第三章　警衔的首次授予</w:t>
      </w:r>
    </w:p>
    <w:p w14:paraId="15156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</w:rPr>
      </w:pPr>
    </w:p>
    <w:p w14:paraId="03E26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十条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警衔按照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职务等级编制警衔授予。</w:t>
      </w:r>
    </w:p>
    <w:p w14:paraId="62FB7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第十一条</w:t>
      </w:r>
      <w:r>
        <w:rPr>
          <w:rFonts w:hint="eastAsia" w:ascii="Times New Roman" w:hAnsi="Times New Roman" w:cs="Arial"/>
          <w:kern w:val="0"/>
          <w:szCs w:val="32"/>
        </w:rPr>
        <w:t>　授予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警衔，以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现任职务、德才表现、担任现职时间和工作年限为依据。</w:t>
      </w:r>
    </w:p>
    <w:p w14:paraId="6B24E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第十二条</w:t>
      </w:r>
      <w:r>
        <w:rPr>
          <w:rFonts w:hint="eastAsia" w:ascii="Times New Roman" w:hAnsi="Times New Roman" w:cs="Arial"/>
          <w:kern w:val="0"/>
          <w:szCs w:val="32"/>
        </w:rPr>
        <w:t>　从学校毕业和从社会上招考录用担任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的，或者从其他部门调任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的，根据确定的职务，授予相应的警衔。</w:t>
      </w:r>
    </w:p>
    <w:p w14:paraId="6162A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第十三条</w:t>
      </w:r>
      <w:r>
        <w:rPr>
          <w:rFonts w:hint="eastAsia" w:ascii="Times New Roman" w:hAnsi="Times New Roman" w:cs="Arial"/>
          <w:kern w:val="0"/>
          <w:szCs w:val="32"/>
        </w:rPr>
        <w:t>　首次授予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警衔，按照下列规定的权限予以批准:</w:t>
      </w:r>
    </w:p>
    <w:p w14:paraId="0771C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（一）总警监、副总警监、一级警监、二级警监由国务院总理批准授予；</w:t>
      </w:r>
    </w:p>
    <w:p w14:paraId="641F3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　（二）三级警监、警督由公安部部长批准授予；</w:t>
      </w:r>
    </w:p>
    <w:p w14:paraId="39670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（三）警司由省、自治区、直辖市公安厅（局）厅（局）长批准授予；</w:t>
      </w:r>
    </w:p>
    <w:p w14:paraId="0DE7F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（四）警员由省、自治区、直辖市公安厅（局）政治部主任批准授予。</w:t>
      </w:r>
    </w:p>
    <w:p w14:paraId="3C174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　公安部机关及其直属机构的警司、警员由公安部政治部主任批准授予。</w:t>
      </w:r>
    </w:p>
    <w:p w14:paraId="7E841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</w:p>
    <w:p w14:paraId="0519B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黑体" w:cs="黑体"/>
          <w:kern w:val="0"/>
          <w:szCs w:val="32"/>
          <w:lang w:eastAsia="zh-CN"/>
        </w:rPr>
      </w:pP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第四章　警衔的晋级</w:t>
      </w:r>
    </w:p>
    <w:p w14:paraId="2D5A9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</w:p>
    <w:p w14:paraId="194F4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第十四条</w:t>
      </w:r>
      <w:r>
        <w:rPr>
          <w:rFonts w:hint="eastAsia" w:ascii="Times New Roman" w:hAnsi="Times New Roman" w:cs="Arial"/>
          <w:kern w:val="0"/>
          <w:szCs w:val="32"/>
        </w:rPr>
        <w:t>　二级警督以下的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，在其职务等级编制警衔幅度内，根据本条规定的期限和条件晋级。</w:t>
      </w:r>
    </w:p>
    <w:p w14:paraId="4B958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晋级的期限:二级警员至一级警司，每晋升一级为三年；一级警司至一级警督，每晋升一级为四年。在职的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在院校培训的时间，计算在警衔晋级的期限内。</w:t>
      </w:r>
    </w:p>
    <w:p w14:paraId="0A5FD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晋级的条件:（一）执行国家的法律、法规和政策，遵纪守法；（二）胜任本职工作；（三）联系群众，廉洁奉公，作风正派。</w:t>
      </w:r>
    </w:p>
    <w:p w14:paraId="66CE2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晋级期限届满，经考核具备晋级条件的，应当逐级晋升；不具备晋级条件的，应当延期晋升。在工作中有突出功绩的，可以提前晋升。</w:t>
      </w:r>
    </w:p>
    <w:p w14:paraId="1FBDC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第十五条</w:t>
      </w:r>
      <w:r>
        <w:rPr>
          <w:rFonts w:hint="eastAsia" w:ascii="Times New Roman" w:hAnsi="Times New Roman" w:cs="Arial"/>
          <w:kern w:val="0"/>
          <w:szCs w:val="32"/>
        </w:rPr>
        <w:t>　一级警督以上的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的警衔晋级，在职务等级编制警衔幅度内，根据其德才表现和工作实绩实行选升。</w:t>
      </w:r>
    </w:p>
    <w:p w14:paraId="751A5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第十六条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由于职务提升，其警衔低于新任职务等级编制警衔的最低警衔的，应当晋升至新任职务等级编制警衔的最低警衔。</w:t>
      </w:r>
    </w:p>
    <w:p w14:paraId="5FB2A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第十七条</w:t>
      </w:r>
      <w:r>
        <w:rPr>
          <w:rFonts w:hint="eastAsia" w:ascii="Times New Roman" w:hAnsi="Times New Roman" w:cs="Arial"/>
          <w:kern w:val="0"/>
          <w:szCs w:val="32"/>
        </w:rPr>
        <w:t>　警司晋升警督，警督晋升警监，经相应的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院校培训合格后，方可晋升。</w:t>
      </w:r>
    </w:p>
    <w:p w14:paraId="772DB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第十八条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警衔晋级的批准权限适用第十三条批准权限的规定。警司、警员提前晋升的，由公安部政治部主任批准。</w:t>
      </w:r>
    </w:p>
    <w:p w14:paraId="36BBB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</w:p>
    <w:p w14:paraId="58B03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黑体" w:cs="黑体"/>
          <w:kern w:val="0"/>
          <w:szCs w:val="32"/>
          <w:lang w:eastAsia="zh-CN"/>
        </w:rPr>
      </w:pP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第五章　警衔的保留、降级、取消</w:t>
      </w:r>
    </w:p>
    <w:p w14:paraId="33B32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</w:p>
    <w:p w14:paraId="1E53B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第十九条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离休、退休的，其警衔予以保留，但不得佩带标志。</w:t>
      </w:r>
    </w:p>
    <w:p w14:paraId="4F997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调离警察工作岗位或者辞职、退职的，其警衔不予保留。</w:t>
      </w:r>
    </w:p>
    <w:p w14:paraId="0822D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第二十条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因不胜任现任职务被调任下级职务，其警衔高于新任职务等级编制警衔的最高警衔的，应当调整至新任职务等级编制警衔的最高警衔。调整警衔的批准权限与原警衔的批准权限相同。</w:t>
      </w:r>
    </w:p>
    <w:p w14:paraId="0AA5E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第二十一条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违犯警纪的，可以给予警衔降级的处分。警衔降级的批准权限与原警衔的批准权限相同。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受警衔降级处分后，其警衔晋级的期限按照降级后的警衔等级重新计算。</w:t>
      </w:r>
    </w:p>
    <w:p w14:paraId="21544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警衔降级不适用于二级警员。</w:t>
      </w:r>
    </w:p>
    <w:p w14:paraId="77FB9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第二十二条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被开除公职的，其警衔相应取消。</w:t>
      </w:r>
    </w:p>
    <w:p w14:paraId="37577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犯罪，被依法判处剥夺政治权利或者有期徒刑以上刑罚的，其警衔相应取消。</w:t>
      </w:r>
    </w:p>
    <w:p w14:paraId="3F119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离休、退休的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犯罪的，适用前款的规定。</w:t>
      </w:r>
    </w:p>
    <w:p w14:paraId="3CBC1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</w:p>
    <w:p w14:paraId="21331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黑体" w:cs="黑体"/>
          <w:kern w:val="0"/>
          <w:szCs w:val="32"/>
          <w:lang w:eastAsia="zh-CN"/>
        </w:rPr>
      </w:pP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第六章　附则</w:t>
      </w:r>
    </w:p>
    <w:p w14:paraId="79A9A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</w:p>
    <w:p w14:paraId="00964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第二十三条</w:t>
      </w:r>
      <w:r>
        <w:rPr>
          <w:rFonts w:hint="eastAsia" w:ascii="Times New Roman" w:hAnsi="Times New Roman" w:cs="Arial"/>
          <w:kern w:val="0"/>
          <w:szCs w:val="32"/>
        </w:rPr>
        <w:t>　国家安全部门、劳动改造劳动教养管理部门的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，人民法院、人民检察院的司法警察的警衔工作适用本条例。</w:t>
      </w:r>
    </w:p>
    <w:p w14:paraId="142F4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国家安全部门、劳动改造劳动教养管理部门的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警衔授予和晋级的批准权限，由国务院规定。</w:t>
      </w:r>
    </w:p>
    <w:p w14:paraId="513A9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司法警察警衔授予和晋级的批准权限，由最高人民法院、最高人民检察院参照本条例规定。</w:t>
      </w:r>
    </w:p>
    <w:p w14:paraId="2D899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公安部门、国家安全部门和劳动改造劳动教养管理部门中不担任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职务的人员，不实行警衔制度。</w:t>
      </w:r>
    </w:p>
    <w:p w14:paraId="69F49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第二十四条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警衔标志的式样和佩带办法，由国务院制定。</w:t>
      </w:r>
    </w:p>
    <w:p w14:paraId="454A2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第二十五条</w:t>
      </w:r>
      <w:r>
        <w:rPr>
          <w:rFonts w:hint="eastAsia" w:ascii="Times New Roman" w:hAnsi="Times New Roman" w:cs="Arial"/>
          <w:kern w:val="0"/>
          <w:szCs w:val="32"/>
        </w:rPr>
        <w:t>　本条例的实施办法由国务院制定。</w:t>
      </w:r>
    </w:p>
    <w:p w14:paraId="3AF6A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第二十六条</w:t>
      </w:r>
      <w:r>
        <w:rPr>
          <w:rFonts w:hint="eastAsia" w:ascii="Times New Roman" w:hAnsi="Times New Roman" w:cs="Arial"/>
          <w:kern w:val="0"/>
          <w:szCs w:val="32"/>
        </w:rPr>
        <w:t>　本条例自</w:t>
      </w:r>
      <w:r>
        <w:rPr>
          <w:rFonts w:hint="eastAsia" w:cs="Arial"/>
          <w:kern w:val="0"/>
          <w:szCs w:val="32"/>
          <w:lang w:eastAsia="zh-CN"/>
        </w:rPr>
        <w:t>和平民主王国</w:t>
      </w:r>
      <w:r>
        <w:rPr>
          <w:rFonts w:hint="eastAsia" w:ascii="Times New Roman" w:hAnsi="Times New Roman" w:cs="Arial"/>
          <w:kern w:val="0"/>
          <w:szCs w:val="32"/>
        </w:rPr>
        <w:t>建国之日起开始生效。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850" w:h="16783"/>
      <w:pgMar w:top="2098" w:right="1417" w:bottom="1928" w:left="1587" w:header="851" w:footer="1253" w:gutter="0"/>
      <w:pgNumType w:fmt="decimal" w:start="1"/>
      <w:cols w:space="0" w:num="1"/>
      <w:rtlGutter w:val="0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9047C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4778375</wp:posOffset>
              </wp:positionH>
              <wp:positionV relativeFrom="paragraph">
                <wp:posOffset>0</wp:posOffset>
              </wp:positionV>
              <wp:extent cx="80264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264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32F384">
                          <w:pPr>
                            <w:pStyle w:val="8"/>
                            <w:wordWrap w:val="0"/>
                            <w:jc w:val="right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　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76.25pt;margin-top:0pt;height:144pt;width:63.2pt;mso-position-horizontal-relative:margin;z-index:251659264;mso-width-relative:page;mso-height-relative:page;" filled="f" stroked="f" coordsize="21600,21600" o:gfxdata="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jQ6cpdYAAAAIAQAADwAAAAAAAAABACAAAAAiAAAAZHJzL2Rvd25yZXYu&#10;eG1sUEsBAhQAFAAAAAgAh07iQLbpR3U2AgAAYgQAAA4AAAAAAAAAAQAgAAAAJQ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32F384">
                    <w:pPr>
                      <w:pStyle w:val="8"/>
                      <w:wordWrap w:val="0"/>
                      <w:jc w:val="right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　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6136E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A4AB6B"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　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A4AB6B"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　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0A105">
    <w:pPr>
      <w:pStyle w:val="9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1F2D5E">
    <w:pPr>
      <w:pStyle w:val="9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D25414"/>
    <w:multiLevelType w:val="multilevel"/>
    <w:tmpl w:val="49D25414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pStyle w:val="22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60"/>
  <w:drawingGridVerticalSpacing w:val="435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F2"/>
    <w:rsid w:val="000408C7"/>
    <w:rsid w:val="00047741"/>
    <w:rsid w:val="0005018B"/>
    <w:rsid w:val="00062E6C"/>
    <w:rsid w:val="000778B0"/>
    <w:rsid w:val="000803E8"/>
    <w:rsid w:val="000E7366"/>
    <w:rsid w:val="001033D0"/>
    <w:rsid w:val="00125D8F"/>
    <w:rsid w:val="00130DFD"/>
    <w:rsid w:val="00152F70"/>
    <w:rsid w:val="0017628A"/>
    <w:rsid w:val="001A2752"/>
    <w:rsid w:val="001A3C91"/>
    <w:rsid w:val="001A5F92"/>
    <w:rsid w:val="001D6F2E"/>
    <w:rsid w:val="001E2657"/>
    <w:rsid w:val="002070BD"/>
    <w:rsid w:val="0021593C"/>
    <w:rsid w:val="00233C4A"/>
    <w:rsid w:val="002407D9"/>
    <w:rsid w:val="00277DE5"/>
    <w:rsid w:val="00297298"/>
    <w:rsid w:val="002979E0"/>
    <w:rsid w:val="002A3EF0"/>
    <w:rsid w:val="002F7DF8"/>
    <w:rsid w:val="00304A84"/>
    <w:rsid w:val="00320296"/>
    <w:rsid w:val="00341FBF"/>
    <w:rsid w:val="00361106"/>
    <w:rsid w:val="003870B2"/>
    <w:rsid w:val="00405342"/>
    <w:rsid w:val="0041162C"/>
    <w:rsid w:val="004B29FD"/>
    <w:rsid w:val="004B5AED"/>
    <w:rsid w:val="004E0129"/>
    <w:rsid w:val="004E3F7A"/>
    <w:rsid w:val="004F3FA8"/>
    <w:rsid w:val="004F682B"/>
    <w:rsid w:val="005521DE"/>
    <w:rsid w:val="005866F9"/>
    <w:rsid w:val="00597FF0"/>
    <w:rsid w:val="005B4D16"/>
    <w:rsid w:val="005C6A1B"/>
    <w:rsid w:val="005E5EEF"/>
    <w:rsid w:val="006125B7"/>
    <w:rsid w:val="0061561D"/>
    <w:rsid w:val="006208B2"/>
    <w:rsid w:val="00661B2B"/>
    <w:rsid w:val="006858D8"/>
    <w:rsid w:val="006B016C"/>
    <w:rsid w:val="006B487D"/>
    <w:rsid w:val="006B7880"/>
    <w:rsid w:val="0079691A"/>
    <w:rsid w:val="00831E9A"/>
    <w:rsid w:val="008A5502"/>
    <w:rsid w:val="008D5D88"/>
    <w:rsid w:val="008F69CD"/>
    <w:rsid w:val="00900D1F"/>
    <w:rsid w:val="00902FF2"/>
    <w:rsid w:val="009857B2"/>
    <w:rsid w:val="00996A63"/>
    <w:rsid w:val="009D7B72"/>
    <w:rsid w:val="009E6421"/>
    <w:rsid w:val="009E6A54"/>
    <w:rsid w:val="00A122B2"/>
    <w:rsid w:val="00A227B8"/>
    <w:rsid w:val="00A265F6"/>
    <w:rsid w:val="00A30678"/>
    <w:rsid w:val="00A54E5C"/>
    <w:rsid w:val="00AC1677"/>
    <w:rsid w:val="00AF3EA3"/>
    <w:rsid w:val="00B116B4"/>
    <w:rsid w:val="00B146D8"/>
    <w:rsid w:val="00B30D5E"/>
    <w:rsid w:val="00B5205C"/>
    <w:rsid w:val="00B86404"/>
    <w:rsid w:val="00B95A4E"/>
    <w:rsid w:val="00B9697E"/>
    <w:rsid w:val="00BD4FD8"/>
    <w:rsid w:val="00BD5ABA"/>
    <w:rsid w:val="00C066A8"/>
    <w:rsid w:val="00CE5247"/>
    <w:rsid w:val="00D54AF3"/>
    <w:rsid w:val="00D54B93"/>
    <w:rsid w:val="00D70A89"/>
    <w:rsid w:val="00D76CB4"/>
    <w:rsid w:val="00D84514"/>
    <w:rsid w:val="00DC5C43"/>
    <w:rsid w:val="00DD0B8B"/>
    <w:rsid w:val="00E235DD"/>
    <w:rsid w:val="00E64956"/>
    <w:rsid w:val="00EE4F6D"/>
    <w:rsid w:val="00F00D39"/>
    <w:rsid w:val="00FA3C68"/>
    <w:rsid w:val="00FC68C1"/>
    <w:rsid w:val="06E31CF6"/>
    <w:rsid w:val="08210A6D"/>
    <w:rsid w:val="0B957AC8"/>
    <w:rsid w:val="0C4E6F56"/>
    <w:rsid w:val="0D2F2A95"/>
    <w:rsid w:val="19A1682B"/>
    <w:rsid w:val="19F86B68"/>
    <w:rsid w:val="1AC44E7C"/>
    <w:rsid w:val="2F7753E6"/>
    <w:rsid w:val="3258761C"/>
    <w:rsid w:val="335C0ECB"/>
    <w:rsid w:val="36DC3B18"/>
    <w:rsid w:val="427D34F5"/>
    <w:rsid w:val="44BC0EEC"/>
    <w:rsid w:val="482A39F4"/>
    <w:rsid w:val="56755F92"/>
    <w:rsid w:val="5C0D1DC8"/>
    <w:rsid w:val="608A7865"/>
    <w:rsid w:val="653A70E2"/>
    <w:rsid w:val="6C1E17DE"/>
    <w:rsid w:val="72406E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1"/>
    <w:qFormat/>
    <w:uiPriority w:val="9"/>
    <w:pPr>
      <w:keepNext/>
      <w:keepLines/>
      <w:spacing w:before="260" w:after="260" w:line="416" w:lineRule="auto"/>
      <w:ind w:firstLine="200" w:firstLineChars="200"/>
      <w:jc w:val="left"/>
      <w:outlineLvl w:val="1"/>
    </w:pPr>
    <w:rPr>
      <w:rFonts w:ascii="Cambria" w:hAnsi="Cambria" w:eastAsia="宋体"/>
      <w:b/>
      <w:bCs/>
      <w:szCs w:val="32"/>
    </w:rPr>
  </w:style>
  <w:style w:type="paragraph" w:styleId="4">
    <w:name w:val="heading 3"/>
    <w:basedOn w:val="1"/>
    <w:next w:val="1"/>
    <w:link w:val="30"/>
    <w:qFormat/>
    <w:uiPriority w:val="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semiHidden/>
    <w:qFormat/>
    <w:uiPriority w:val="0"/>
    <w:pPr>
      <w:shd w:val="clear" w:color="auto" w:fill="000080"/>
    </w:pPr>
  </w:style>
  <w:style w:type="paragraph" w:styleId="6">
    <w:name w:val="Plain Text"/>
    <w:basedOn w:val="1"/>
    <w:link w:val="24"/>
    <w:unhideWhenUsed/>
    <w:qFormat/>
    <w:uiPriority w:val="99"/>
    <w:rPr>
      <w:rFonts w:ascii="宋体" w:hAnsi="Courier New" w:eastAsia="宋体"/>
      <w:sz w:val="21"/>
      <w:szCs w:val="21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3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39"/>
  </w:style>
  <w:style w:type="paragraph" w:styleId="11">
    <w:name w:val="Subtitle"/>
    <w:basedOn w:val="1"/>
    <w:next w:val="1"/>
    <w:link w:val="26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/>
      <w:b/>
      <w:bCs/>
      <w:kern w:val="28"/>
      <w:szCs w:val="32"/>
    </w:rPr>
  </w:style>
  <w:style w:type="paragraph" w:styleId="12">
    <w:name w:val="toc 2"/>
    <w:basedOn w:val="1"/>
    <w:next w:val="1"/>
    <w:qFormat/>
    <w:uiPriority w:val="39"/>
    <w:pPr>
      <w:ind w:left="420" w:leftChars="200"/>
    </w:pPr>
  </w:style>
  <w:style w:type="paragraph" w:styleId="13">
    <w:name w:val="Title"/>
    <w:basedOn w:val="1"/>
    <w:next w:val="1"/>
    <w:link w:val="28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  <w:szCs w:val="32"/>
    </w:rPr>
  </w:style>
  <w:style w:type="character" w:styleId="16">
    <w:name w:val="Strong"/>
    <w:qFormat/>
    <w:uiPriority w:val="0"/>
    <w:rPr>
      <w:b/>
      <w:bCs/>
    </w:rPr>
  </w:style>
  <w:style w:type="character" w:styleId="17">
    <w:name w:val="page number"/>
    <w:basedOn w:val="15"/>
    <w:qFormat/>
    <w:uiPriority w:val="0"/>
  </w:style>
  <w:style w:type="character" w:styleId="18">
    <w:name w:val="FollowedHyperlink"/>
    <w:qFormat/>
    <w:uiPriority w:val="0"/>
    <w:rPr>
      <w:color w:val="800080"/>
      <w:u w:val="single"/>
    </w:rPr>
  </w:style>
  <w:style w:type="character" w:styleId="19">
    <w:name w:val="Emphasis"/>
    <w:qFormat/>
    <w:uiPriority w:val="0"/>
    <w:rPr>
      <w:i/>
      <w:iCs/>
    </w:rPr>
  </w:style>
  <w:style w:type="character" w:styleId="20">
    <w:name w:val="Hyperlink"/>
    <w:qFormat/>
    <w:uiPriority w:val="99"/>
    <w:rPr>
      <w:rFonts w:hint="default" w:ascii="ˎ̥" w:hAnsi="ˎ̥"/>
      <w:color w:val="0404B3"/>
      <w:sz w:val="18"/>
      <w:szCs w:val="18"/>
      <w:u w:val="none"/>
    </w:rPr>
  </w:style>
  <w:style w:type="paragraph" w:customStyle="1" w:styleId="21">
    <w:name w:val="_Style 20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paragraph" w:customStyle="1" w:styleId="22">
    <w:name w:val="1.1"/>
    <w:basedOn w:val="4"/>
    <w:link w:val="29"/>
    <w:qFormat/>
    <w:uiPriority w:val="0"/>
    <w:pPr>
      <w:numPr>
        <w:ilvl w:val="1"/>
        <w:numId w:val="1"/>
      </w:numPr>
      <w:ind w:firstLine="0"/>
      <w:jc w:val="left"/>
    </w:pPr>
    <w:rPr>
      <w:rFonts w:ascii="Calibri" w:hAnsi="Calibri" w:eastAsia="宋体"/>
      <w:sz w:val="30"/>
    </w:rPr>
  </w:style>
  <w:style w:type="character" w:customStyle="1" w:styleId="23">
    <w:name w:val="页眉 Char"/>
    <w:link w:val="9"/>
    <w:qFormat/>
    <w:uiPriority w:val="99"/>
    <w:rPr>
      <w:rFonts w:eastAsia="仿宋_GB2312"/>
      <w:kern w:val="2"/>
      <w:sz w:val="18"/>
      <w:szCs w:val="18"/>
    </w:rPr>
  </w:style>
  <w:style w:type="character" w:customStyle="1" w:styleId="24">
    <w:name w:val="纯文本 Char"/>
    <w:link w:val="6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5">
    <w:name w:val="纯文本 Char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6">
    <w:name w:val="副标题 Char"/>
    <w:link w:val="11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7">
    <w:name w:val="标题 1 Char"/>
    <w:link w:val="2"/>
    <w:qFormat/>
    <w:uiPriority w:val="0"/>
    <w:rPr>
      <w:rFonts w:eastAsia="仿宋_GB2312"/>
      <w:b/>
      <w:bCs/>
      <w:kern w:val="44"/>
      <w:sz w:val="44"/>
      <w:szCs w:val="44"/>
    </w:rPr>
  </w:style>
  <w:style w:type="character" w:customStyle="1" w:styleId="28">
    <w:name w:val="标题 Char"/>
    <w:link w:val="13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9">
    <w:name w:val="1.1 Char"/>
    <w:link w:val="22"/>
    <w:qFormat/>
    <w:uiPriority w:val="0"/>
    <w:rPr>
      <w:rFonts w:ascii="Calibri" w:hAnsi="Calibri"/>
      <w:b/>
      <w:bCs/>
      <w:kern w:val="2"/>
      <w:sz w:val="30"/>
      <w:szCs w:val="32"/>
    </w:rPr>
  </w:style>
  <w:style w:type="character" w:customStyle="1" w:styleId="30">
    <w:name w:val="标题 3 Char"/>
    <w:link w:val="4"/>
    <w:semiHidden/>
    <w:qFormat/>
    <w:uiPriority w:val="0"/>
    <w:rPr>
      <w:rFonts w:eastAsia="仿宋_GB2312"/>
      <w:b/>
      <w:bCs/>
      <w:kern w:val="2"/>
      <w:sz w:val="32"/>
      <w:szCs w:val="32"/>
    </w:rPr>
  </w:style>
  <w:style w:type="character" w:customStyle="1" w:styleId="31">
    <w:name w:val="标题 2 Char"/>
    <w:link w:val="3"/>
    <w:qFormat/>
    <w:uiPriority w:val="9"/>
    <w:rPr>
      <w:rFonts w:ascii="Cambria" w:hAnsi="Cambria"/>
      <w:b/>
      <w:bCs/>
      <w:kern w:val="2"/>
      <w:sz w:val="32"/>
      <w:szCs w:val="32"/>
    </w:rPr>
  </w:style>
  <w:style w:type="character" w:customStyle="1" w:styleId="32">
    <w:name w:val="页脚 Char"/>
    <w:link w:val="8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2159</Words>
  <Characters>12310</Characters>
  <Lines>102</Lines>
  <Paragraphs>28</Paragraphs>
  <TotalTime>21</TotalTime>
  <ScaleCrop>false</ScaleCrop>
  <LinksUpToDate>false</LinksUpToDate>
  <CharactersWithSpaces>14441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2016-10-19T07:39:00Z</dcterms:created>
  <dc:creator>Lenovo</dc:creator>
  <cp:lastModifiedBy>拱酝爻涣和</cp:lastModifiedBy>
  <cp:lastPrinted>2016-11-15T16:26:00Z</cp:lastPrinted>
  <dcterms:modified xsi:type="dcterms:W3CDTF">2025-06-29T09:54:46Z</dcterms:modified>
  <dc:title>法规修改决定电子报备格式标准及示例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02F57CA1D8C54495A65EDDB222470BFD_12</vt:lpwstr>
  </property>
</Properties>
</file>