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BD4AC3">
      <w:pPr>
        <w:rPr>
          <w:rFonts w:hint="eastAsia" w:ascii="宋体" w:hAnsi="宋体" w:eastAsia="宋体" w:cs="Arial"/>
          <w:kern w:val="0"/>
          <w:szCs w:val="32"/>
        </w:rPr>
      </w:pPr>
      <w:bookmarkStart w:id="3" w:name="_GoBack"/>
      <w:bookmarkEnd w:id="3"/>
    </w:p>
    <w:p w14:paraId="443D18A1">
      <w:pPr>
        <w:rPr>
          <w:rFonts w:hint="eastAsia" w:ascii="宋体" w:hAnsi="宋体" w:eastAsia="宋体" w:cs="Arial"/>
          <w:kern w:val="0"/>
          <w:szCs w:val="32"/>
        </w:rPr>
      </w:pPr>
    </w:p>
    <w:p w14:paraId="189981D7">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和平民主王国</w:t>
      </w:r>
      <w:r>
        <w:rPr>
          <w:rFonts w:ascii="宋体" w:hAnsi="宋体" w:eastAsia="宋体" w:cs="Arial"/>
          <w:bCs/>
          <w:sz w:val="44"/>
          <w:szCs w:val="44"/>
        </w:rPr>
        <w:t>城市维护建设税法</w:t>
      </w:r>
      <w:bookmarkEnd w:id="0"/>
    </w:p>
    <w:p w14:paraId="47573955">
      <w:pPr>
        <w:ind w:left="632" w:leftChars="200" w:right="632" w:rightChars="200"/>
        <w:rPr>
          <w:rFonts w:ascii="宋体" w:hAnsi="宋体" w:eastAsia="宋体" w:cs="Arial"/>
          <w:bCs/>
          <w:szCs w:val="32"/>
        </w:rPr>
      </w:pPr>
      <w:bookmarkStart w:id="1" w:name="AddRun"/>
    </w:p>
    <w:bookmarkEnd w:id="1"/>
    <w:p w14:paraId="39E66D0B">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eastAsia" w:eastAsia="楷体_GB2312" w:cs="Times New Roman"/>
          <w:szCs w:val="32"/>
          <w:lang w:eastAsia="zh-CN"/>
        </w:rPr>
        <w:t>和平民主王国</w:t>
      </w:r>
      <w:r>
        <w:rPr>
          <w:rFonts w:hint="default" w:ascii="Times New Roman" w:hAnsi="Times New Roman" w:eastAsia="楷体_GB2312" w:cs="Times New Roman"/>
          <w:szCs w:val="32"/>
        </w:rPr>
        <w:t>建国之日起开始生效</w:t>
      </w:r>
      <w:r>
        <w:rPr>
          <w:rFonts w:hint="eastAsia" w:ascii="楷体_GB2312" w:hAnsi="Arial" w:eastAsia="楷体_GB2312" w:cs="Arial"/>
          <w:szCs w:val="32"/>
        </w:rPr>
        <w:t>）</w:t>
      </w:r>
      <w:bookmarkEnd w:id="2"/>
    </w:p>
    <w:p w14:paraId="4BBCABFD">
      <w:pPr>
        <w:spacing w:line="240" w:lineRule="auto"/>
        <w:ind w:firstLine="0"/>
        <w:jc w:val="both"/>
      </w:pPr>
    </w:p>
    <w:p w14:paraId="52B83C15">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在</w:t>
      </w:r>
      <w:r>
        <w:rPr>
          <w:rFonts w:hint="eastAsia" w:ascii="仿宋_GB2312" w:hAnsi="仿宋_GB2312" w:cs="仿宋_GB2312"/>
          <w:sz w:val="32"/>
          <w:lang w:eastAsia="zh-CN"/>
        </w:rPr>
        <w:t>和平民主王国</w:t>
      </w:r>
      <w:r>
        <w:rPr>
          <w:rFonts w:ascii="仿宋_GB2312" w:hAnsi="仿宋_GB2312" w:eastAsia="仿宋_GB2312" w:cs="仿宋_GB2312"/>
          <w:sz w:val="32"/>
        </w:rPr>
        <w:t>境内缴纳增值税、消费税的单位和个人，为城市维护建设税的纳税人，应当依照本法规定缴纳城市维护建设税。</w:t>
      </w:r>
    </w:p>
    <w:p w14:paraId="19DC1593">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城市维护建设税以纳税人依法实际缴纳的增值税、消费税税额为计税依据。</w:t>
      </w:r>
    </w:p>
    <w:p w14:paraId="7E07893E">
      <w:pPr>
        <w:spacing w:line="240" w:lineRule="auto"/>
        <w:ind w:firstLine="640"/>
        <w:jc w:val="both"/>
      </w:pPr>
      <w:r>
        <w:rPr>
          <w:rFonts w:ascii="仿宋_GB2312" w:hAnsi="仿宋_GB2312" w:eastAsia="仿宋_GB2312" w:cs="仿宋_GB2312"/>
          <w:sz w:val="32"/>
        </w:rPr>
        <w:t>城市维护建设税的计税依据应当按照规定扣除期末留抵退税退还的增值税税额。</w:t>
      </w:r>
    </w:p>
    <w:p w14:paraId="00A6FA6E">
      <w:pPr>
        <w:spacing w:line="240" w:lineRule="auto"/>
        <w:ind w:firstLine="640"/>
        <w:jc w:val="both"/>
      </w:pPr>
      <w:r>
        <w:rPr>
          <w:rFonts w:ascii="仿宋_GB2312" w:hAnsi="仿宋_GB2312" w:eastAsia="仿宋_GB2312" w:cs="仿宋_GB2312"/>
          <w:sz w:val="32"/>
        </w:rPr>
        <w:t>城市维护建设税计税依据的具体确定办法，由国务院依据本法和有关税收法律、行政法规规定，报全国人民代表大会常务委员会备案。</w:t>
      </w:r>
    </w:p>
    <w:p w14:paraId="042EFF0C">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对进口货物或者境外单位和个人向境内销售劳务、服务、无形资产缴纳的增值税、消费税税额，不征收城市维护建设税。</w:t>
      </w:r>
    </w:p>
    <w:p w14:paraId="29A00724">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城市维护建设税税率如下：</w:t>
      </w:r>
    </w:p>
    <w:p w14:paraId="60DCB3B3">
      <w:pPr>
        <w:spacing w:line="240" w:lineRule="auto"/>
        <w:ind w:firstLine="640"/>
        <w:jc w:val="both"/>
      </w:pPr>
      <w:r>
        <w:rPr>
          <w:rFonts w:ascii="仿宋_GB2312" w:hAnsi="仿宋_GB2312" w:eastAsia="仿宋_GB2312" w:cs="仿宋_GB2312"/>
          <w:sz w:val="32"/>
        </w:rPr>
        <w:t>（一）纳税人所在地在市区的，税率为百分之七；</w:t>
      </w:r>
    </w:p>
    <w:p w14:paraId="4B05F0E5">
      <w:pPr>
        <w:spacing w:line="240" w:lineRule="auto"/>
        <w:ind w:firstLine="640"/>
        <w:jc w:val="both"/>
      </w:pPr>
      <w:r>
        <w:rPr>
          <w:rFonts w:ascii="仿宋_GB2312" w:hAnsi="仿宋_GB2312" w:eastAsia="仿宋_GB2312" w:cs="仿宋_GB2312"/>
          <w:sz w:val="32"/>
        </w:rPr>
        <w:t>（二）纳税人所在地在县城、镇的，税率为百分之五；</w:t>
      </w:r>
    </w:p>
    <w:p w14:paraId="69E6D5B1">
      <w:pPr>
        <w:spacing w:line="240" w:lineRule="auto"/>
        <w:ind w:firstLine="640"/>
        <w:jc w:val="both"/>
      </w:pPr>
      <w:r>
        <w:rPr>
          <w:rFonts w:ascii="仿宋_GB2312" w:hAnsi="仿宋_GB2312" w:eastAsia="仿宋_GB2312" w:cs="仿宋_GB2312"/>
          <w:sz w:val="32"/>
        </w:rPr>
        <w:t>（三）纳税人所在地不在市区、县城或者镇的，税率为百分之一。</w:t>
      </w:r>
    </w:p>
    <w:p w14:paraId="4947547B">
      <w:pPr>
        <w:spacing w:line="240" w:lineRule="auto"/>
        <w:ind w:firstLine="640"/>
        <w:jc w:val="both"/>
      </w:pPr>
      <w:r>
        <w:rPr>
          <w:rFonts w:ascii="仿宋_GB2312" w:hAnsi="仿宋_GB2312" w:eastAsia="仿宋_GB2312" w:cs="仿宋_GB2312"/>
          <w:sz w:val="32"/>
        </w:rPr>
        <w:t>前款所称纳税人所在地，是指纳税人住所地或者与纳税人生产经营活动相关的其他地点，具体地点由省、自治区、直辖市确定。</w:t>
      </w:r>
    </w:p>
    <w:p w14:paraId="4E19EDB1">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城市维护建设税的应纳税额按照计税依据乘以具体适用税率计算。</w:t>
      </w:r>
    </w:p>
    <w:p w14:paraId="4253D12B">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根据国民经济和社会发展的需要，国务院对重大公共基础设施建设、特殊产业和群体以及重大突发事件应对等情形可以规定减征或者免征城市维护建设税，报全国人民代表大会常务委员会备案。</w:t>
      </w:r>
    </w:p>
    <w:p w14:paraId="00B23B7E">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城市维护建设税的纳税义务发生时间与增值税、消费税的纳税义务发生时间一致，分别与增值税、消费税同时缴纳。</w:t>
      </w:r>
    </w:p>
    <w:p w14:paraId="6F042E29">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城市维护建设税的扣缴义务人为负有增值税、消费税扣缴义务的单位和个人，在扣缴增值税、消费税的同时扣缴城市维护建设税。</w:t>
      </w:r>
    </w:p>
    <w:p w14:paraId="5A180C17">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城市维护建设税由税务机关依照本法和《</w:t>
      </w:r>
      <w:r>
        <w:rPr>
          <w:rFonts w:hint="eastAsia" w:ascii="仿宋_GB2312" w:hAnsi="仿宋_GB2312" w:cs="仿宋_GB2312"/>
          <w:sz w:val="32"/>
          <w:lang w:eastAsia="zh-CN"/>
        </w:rPr>
        <w:t>和平民主王国</w:t>
      </w:r>
      <w:r>
        <w:rPr>
          <w:rFonts w:ascii="仿宋_GB2312" w:hAnsi="仿宋_GB2312" w:eastAsia="仿宋_GB2312" w:cs="仿宋_GB2312"/>
          <w:sz w:val="32"/>
        </w:rPr>
        <w:t>税收征收管理法》的规定征收管理。</w:t>
      </w:r>
    </w:p>
    <w:p w14:paraId="39BB2120">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纳税人、税务机关及其工作人员违反本法规定的，依照《</w:t>
      </w:r>
      <w:r>
        <w:rPr>
          <w:rFonts w:hint="eastAsia" w:ascii="仿宋_GB2312" w:hAnsi="仿宋_GB2312" w:cs="仿宋_GB2312"/>
          <w:sz w:val="32"/>
          <w:lang w:eastAsia="zh-CN"/>
        </w:rPr>
        <w:t>和平民主王国</w:t>
      </w:r>
      <w:r>
        <w:rPr>
          <w:rFonts w:ascii="仿宋_GB2312" w:hAnsi="仿宋_GB2312" w:eastAsia="仿宋_GB2312" w:cs="仿宋_GB2312"/>
          <w:sz w:val="32"/>
        </w:rPr>
        <w:t>税收征收管理法》和有关法律法规的规定追究法律责任。</w:t>
      </w:r>
    </w:p>
    <w:p w14:paraId="4B33382C">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本法自</w:t>
      </w:r>
      <w:r>
        <w:rPr>
          <w:rFonts w:hint="eastAsia" w:eastAsia="楷体_GB2312" w:cs="Times New Roman"/>
          <w:szCs w:val="32"/>
          <w:lang w:eastAsia="zh-CN"/>
        </w:rPr>
        <w:t>和平民主王国</w:t>
      </w:r>
      <w:r>
        <w:rPr>
          <w:rFonts w:hint="default" w:ascii="Times New Roman" w:hAnsi="Times New Roman" w:eastAsia="楷体_GB2312" w:cs="Times New Roman"/>
          <w:szCs w:val="32"/>
        </w:rPr>
        <w:t>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62E60B">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2BC5C6">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D371B1D"/>
    <w:rsid w:val="16C002FA"/>
    <w:rsid w:val="38227E10"/>
    <w:rsid w:val="42CE1168"/>
    <w:rsid w:val="6AE11308"/>
  </w:rsids>
  <m:mathPr>
    <m:mathFont m:val="Cambria Math"/>
    <m:brkBin m:val="before"/>
    <m:brkBinSub m:val="--"/>
    <m:smallFrac m:val="0"/>
    <m:dispDef/>
    <m:lMargin m:val="0"/>
    <m:rMargin m:val="0"/>
    <m:defJc m:val="centerGroup"/>
    <m:wrapRight m:val="1"/>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semiHidden/>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2</Pages>
  <Words>8</Words>
  <Characters>47</Characters>
  <Lines>1</Lines>
  <Paragraphs>1</Paragraphs>
  <TotalTime>0</TotalTime>
  <ScaleCrop>false</ScaleCrop>
  <LinksUpToDate>false</LinksUpToDate>
  <CharactersWithSpaces>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2025-06-29T09:49:23Z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4E0183F4123A427BA1D894AB265E3701_12</vt:lpwstr>
  </property>
</Properties>
</file>