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E1597D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lang w:eastAsia="zh-CN"/>
        </w:rPr>
      </w:pPr>
      <w:bookmarkStart w:id="0" w:name="_GoBack"/>
      <w:bookmarkEnd w:id="0"/>
    </w:p>
    <w:p w14:paraId="3241FAF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lang w:eastAsia="zh-CN"/>
        </w:rPr>
      </w:pPr>
    </w:p>
    <w:p w14:paraId="606BCED9">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宋体" w:hAnsi="宋体" w:eastAsia="宋体" w:cs="宋体"/>
          <w:kern w:val="0"/>
          <w:sz w:val="44"/>
          <w:szCs w:val="44"/>
        </w:rPr>
      </w:pPr>
      <w:r>
        <w:rPr>
          <w:rFonts w:hint="eastAsia" w:ascii="宋体" w:hAnsi="宋体" w:eastAsia="宋体" w:cs="宋体"/>
          <w:kern w:val="0"/>
          <w:sz w:val="44"/>
          <w:szCs w:val="44"/>
          <w:lang w:eastAsia="zh-CN"/>
        </w:rPr>
        <w:t>和平民主王国</w:t>
      </w:r>
      <w:r>
        <w:rPr>
          <w:rFonts w:hint="eastAsia" w:ascii="宋体" w:hAnsi="宋体" w:eastAsia="宋体" w:cs="宋体"/>
          <w:kern w:val="0"/>
          <w:sz w:val="44"/>
          <w:szCs w:val="44"/>
        </w:rPr>
        <w:t>收养法</w:t>
      </w:r>
    </w:p>
    <w:p w14:paraId="0BCC98A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36DE9F01">
      <w:pPr>
        <w:keepNext w:val="0"/>
        <w:keepLines w:val="0"/>
        <w:pageBreakBefore w:val="0"/>
        <w:widowControl w:val="0"/>
        <w:kinsoku/>
        <w:wordWrap/>
        <w:overflowPunct/>
        <w:topLinePunct w:val="0"/>
        <w:autoSpaceDE/>
        <w:autoSpaceDN/>
        <w:bidi w:val="0"/>
        <w:adjustRightInd/>
        <w:snapToGrid/>
        <w:spacing w:line="560" w:lineRule="exact"/>
        <w:ind w:left="640" w:leftChars="200" w:right="640" w:rightChars="200"/>
        <w:textAlignment w:val="auto"/>
        <w:outlineLvl w:val="9"/>
        <w:rPr>
          <w:rFonts w:hint="eastAsia" w:ascii="Times New Roman" w:hAnsi="Times New Roman" w:eastAsia="楷体_GB2312" w:cs="楷体_GB2312"/>
          <w:kern w:val="0"/>
          <w:szCs w:val="32"/>
        </w:rPr>
      </w:pPr>
      <w:r>
        <w:rPr>
          <w:rFonts w:hint="eastAsia" w:ascii="Times New Roman" w:hAnsi="Times New Roman" w:eastAsia="楷体_GB2312" w:cs="楷体_GB2312"/>
          <w:kern w:val="0"/>
          <w:szCs w:val="32"/>
        </w:rPr>
        <w:t>（</w:t>
      </w:r>
      <w:r>
        <w:rPr>
          <w:rFonts w:hint="eastAsia" w:eastAsia="楷体_GB2312" w:cs="楷体_GB2312"/>
          <w:kern w:val="0"/>
          <w:szCs w:val="32"/>
          <w:lang w:eastAsia="zh-CN"/>
        </w:rPr>
        <w:t>和平民主王国</w:t>
      </w:r>
      <w:r>
        <w:rPr>
          <w:rFonts w:hint="eastAsia" w:ascii="Times New Roman" w:hAnsi="Times New Roman" w:eastAsia="楷体_GB2312" w:cs="楷体_GB2312"/>
          <w:kern w:val="0"/>
          <w:szCs w:val="32"/>
        </w:rPr>
        <w:t>建国之日起开始生效）</w:t>
      </w:r>
    </w:p>
    <w:p w14:paraId="0D4BF34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4852A332">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楷体_GB2312" w:hAnsi="楷体_GB2312" w:eastAsia="楷体_GB2312" w:cs="楷体_GB2312"/>
          <w:kern w:val="0"/>
          <w:szCs w:val="32"/>
        </w:rPr>
      </w:pPr>
      <w:r>
        <w:rPr>
          <w:rFonts w:hint="eastAsia" w:ascii="楷体_GB2312" w:hAnsi="楷体_GB2312" w:eastAsia="楷体_GB2312" w:cs="楷体_GB2312"/>
          <w:kern w:val="0"/>
          <w:szCs w:val="32"/>
        </w:rPr>
        <w:t>目</w:t>
      </w:r>
      <w:r>
        <w:rPr>
          <w:rFonts w:hint="eastAsia" w:ascii="楷体_GB2312" w:hAnsi="楷体_GB2312" w:eastAsia="楷体_GB2312" w:cs="楷体_GB2312"/>
          <w:kern w:val="0"/>
          <w:szCs w:val="32"/>
          <w:lang w:eastAsia="zh-CN"/>
        </w:rPr>
        <w:t>　　</w:t>
      </w:r>
      <w:r>
        <w:rPr>
          <w:rFonts w:hint="eastAsia" w:ascii="楷体_GB2312" w:hAnsi="楷体_GB2312" w:eastAsia="楷体_GB2312" w:cs="楷体_GB2312"/>
          <w:kern w:val="0"/>
          <w:szCs w:val="32"/>
        </w:rPr>
        <w:t>录</w:t>
      </w:r>
    </w:p>
    <w:p w14:paraId="2AB8836C">
      <w:pPr>
        <w:keepNext w:val="0"/>
        <w:keepLines w:val="0"/>
        <w:pageBreakBefore w:val="0"/>
        <w:widowControl w:val="0"/>
        <w:kinsoku/>
        <w:wordWrap/>
        <w:overflowPunct/>
        <w:topLinePunct w:val="0"/>
        <w:autoSpaceDE/>
        <w:autoSpaceDN/>
        <w:bidi w:val="0"/>
        <w:adjustRightInd/>
        <w:snapToGrid/>
        <w:spacing w:line="560" w:lineRule="exact"/>
        <w:jc w:val="left"/>
        <w:textAlignment w:val="auto"/>
        <w:outlineLvl w:val="9"/>
        <w:rPr>
          <w:rFonts w:hint="eastAsia" w:ascii="楷体_GB2312" w:hAnsi="楷体_GB2312" w:eastAsia="楷体_GB2312" w:cs="楷体_GB2312"/>
          <w:kern w:val="0"/>
          <w:szCs w:val="32"/>
        </w:rPr>
      </w:pPr>
      <w:r>
        <w:rPr>
          <w:rFonts w:hint="eastAsia" w:ascii="楷体_GB2312" w:hAnsi="楷体_GB2312" w:eastAsia="楷体_GB2312" w:cs="楷体_GB2312"/>
          <w:kern w:val="0"/>
          <w:szCs w:val="32"/>
          <w:lang w:eastAsia="zh-CN"/>
        </w:rPr>
        <w:t>　　第</w:t>
      </w:r>
      <w:r>
        <w:rPr>
          <w:rFonts w:hint="eastAsia" w:ascii="楷体_GB2312" w:hAnsi="楷体_GB2312" w:eastAsia="楷体_GB2312" w:cs="楷体_GB2312"/>
          <w:kern w:val="0"/>
          <w:szCs w:val="32"/>
        </w:rPr>
        <w:t>一章　总则</w:t>
      </w:r>
    </w:p>
    <w:p w14:paraId="0415D328">
      <w:pPr>
        <w:keepNext w:val="0"/>
        <w:keepLines w:val="0"/>
        <w:pageBreakBefore w:val="0"/>
        <w:widowControl w:val="0"/>
        <w:kinsoku/>
        <w:wordWrap/>
        <w:overflowPunct/>
        <w:topLinePunct w:val="0"/>
        <w:autoSpaceDE/>
        <w:autoSpaceDN/>
        <w:bidi w:val="0"/>
        <w:adjustRightInd/>
        <w:snapToGrid/>
        <w:spacing w:line="560" w:lineRule="exact"/>
        <w:jc w:val="left"/>
        <w:textAlignment w:val="auto"/>
        <w:outlineLvl w:val="9"/>
        <w:rPr>
          <w:rFonts w:hint="eastAsia" w:ascii="楷体_GB2312" w:hAnsi="楷体_GB2312" w:eastAsia="楷体_GB2312" w:cs="楷体_GB2312"/>
          <w:kern w:val="0"/>
          <w:szCs w:val="32"/>
        </w:rPr>
      </w:pPr>
      <w:r>
        <w:rPr>
          <w:rFonts w:hint="eastAsia" w:ascii="楷体_GB2312" w:hAnsi="楷体_GB2312" w:eastAsia="楷体_GB2312" w:cs="楷体_GB2312"/>
          <w:kern w:val="0"/>
          <w:szCs w:val="32"/>
          <w:lang w:eastAsia="zh-CN"/>
        </w:rPr>
        <w:t>　　第</w:t>
      </w:r>
      <w:r>
        <w:rPr>
          <w:rFonts w:hint="eastAsia" w:ascii="楷体_GB2312" w:hAnsi="楷体_GB2312" w:eastAsia="楷体_GB2312" w:cs="楷体_GB2312"/>
          <w:kern w:val="0"/>
          <w:szCs w:val="32"/>
        </w:rPr>
        <w:t>二章　收养关系的成立</w:t>
      </w:r>
    </w:p>
    <w:p w14:paraId="6C4C8D32">
      <w:pPr>
        <w:keepNext w:val="0"/>
        <w:keepLines w:val="0"/>
        <w:pageBreakBefore w:val="0"/>
        <w:widowControl w:val="0"/>
        <w:kinsoku/>
        <w:wordWrap/>
        <w:overflowPunct/>
        <w:topLinePunct w:val="0"/>
        <w:autoSpaceDE/>
        <w:autoSpaceDN/>
        <w:bidi w:val="0"/>
        <w:adjustRightInd/>
        <w:snapToGrid/>
        <w:spacing w:line="560" w:lineRule="exact"/>
        <w:jc w:val="left"/>
        <w:textAlignment w:val="auto"/>
        <w:outlineLvl w:val="9"/>
        <w:rPr>
          <w:rFonts w:hint="eastAsia" w:ascii="楷体_GB2312" w:hAnsi="楷体_GB2312" w:eastAsia="楷体_GB2312" w:cs="楷体_GB2312"/>
          <w:kern w:val="0"/>
          <w:szCs w:val="32"/>
        </w:rPr>
      </w:pPr>
      <w:r>
        <w:rPr>
          <w:rFonts w:hint="eastAsia" w:ascii="楷体_GB2312" w:hAnsi="楷体_GB2312" w:eastAsia="楷体_GB2312" w:cs="楷体_GB2312"/>
          <w:kern w:val="0"/>
          <w:szCs w:val="32"/>
          <w:lang w:eastAsia="zh-CN"/>
        </w:rPr>
        <w:t>　　第</w:t>
      </w:r>
      <w:r>
        <w:rPr>
          <w:rFonts w:hint="eastAsia" w:ascii="楷体_GB2312" w:hAnsi="楷体_GB2312" w:eastAsia="楷体_GB2312" w:cs="楷体_GB2312"/>
          <w:kern w:val="0"/>
          <w:szCs w:val="32"/>
        </w:rPr>
        <w:t>三章　收养的效力</w:t>
      </w:r>
    </w:p>
    <w:p w14:paraId="2A565D52">
      <w:pPr>
        <w:keepNext w:val="0"/>
        <w:keepLines w:val="0"/>
        <w:pageBreakBefore w:val="0"/>
        <w:widowControl w:val="0"/>
        <w:kinsoku/>
        <w:wordWrap/>
        <w:overflowPunct/>
        <w:topLinePunct w:val="0"/>
        <w:autoSpaceDE/>
        <w:autoSpaceDN/>
        <w:bidi w:val="0"/>
        <w:adjustRightInd/>
        <w:snapToGrid/>
        <w:spacing w:line="560" w:lineRule="exact"/>
        <w:jc w:val="left"/>
        <w:textAlignment w:val="auto"/>
        <w:outlineLvl w:val="9"/>
        <w:rPr>
          <w:rFonts w:hint="eastAsia" w:ascii="楷体_GB2312" w:hAnsi="楷体_GB2312" w:eastAsia="楷体_GB2312" w:cs="楷体_GB2312"/>
          <w:kern w:val="0"/>
          <w:szCs w:val="32"/>
        </w:rPr>
      </w:pPr>
      <w:r>
        <w:rPr>
          <w:rFonts w:hint="eastAsia" w:ascii="楷体_GB2312" w:hAnsi="楷体_GB2312" w:eastAsia="楷体_GB2312" w:cs="楷体_GB2312"/>
          <w:kern w:val="0"/>
          <w:szCs w:val="32"/>
          <w:lang w:eastAsia="zh-CN"/>
        </w:rPr>
        <w:t>　　第</w:t>
      </w:r>
      <w:r>
        <w:rPr>
          <w:rFonts w:hint="eastAsia" w:ascii="楷体_GB2312" w:hAnsi="楷体_GB2312" w:eastAsia="楷体_GB2312" w:cs="楷体_GB2312"/>
          <w:kern w:val="0"/>
          <w:szCs w:val="32"/>
        </w:rPr>
        <w:t>四章　收养关系的解除</w:t>
      </w:r>
    </w:p>
    <w:p w14:paraId="1E8F1411">
      <w:pPr>
        <w:keepNext w:val="0"/>
        <w:keepLines w:val="0"/>
        <w:pageBreakBefore w:val="0"/>
        <w:widowControl w:val="0"/>
        <w:kinsoku/>
        <w:wordWrap/>
        <w:overflowPunct/>
        <w:topLinePunct w:val="0"/>
        <w:autoSpaceDE/>
        <w:autoSpaceDN/>
        <w:bidi w:val="0"/>
        <w:adjustRightInd/>
        <w:snapToGrid/>
        <w:spacing w:line="560" w:lineRule="exact"/>
        <w:jc w:val="left"/>
        <w:textAlignment w:val="auto"/>
        <w:outlineLvl w:val="9"/>
        <w:rPr>
          <w:rFonts w:hint="eastAsia" w:ascii="楷体_GB2312" w:hAnsi="楷体_GB2312" w:eastAsia="楷体_GB2312" w:cs="楷体_GB2312"/>
          <w:kern w:val="0"/>
          <w:szCs w:val="32"/>
        </w:rPr>
      </w:pPr>
      <w:r>
        <w:rPr>
          <w:rFonts w:hint="eastAsia" w:ascii="楷体_GB2312" w:hAnsi="楷体_GB2312" w:eastAsia="楷体_GB2312" w:cs="楷体_GB2312"/>
          <w:kern w:val="0"/>
          <w:szCs w:val="32"/>
          <w:lang w:eastAsia="zh-CN"/>
        </w:rPr>
        <w:t>　　第</w:t>
      </w:r>
      <w:r>
        <w:rPr>
          <w:rFonts w:hint="eastAsia" w:ascii="楷体_GB2312" w:hAnsi="楷体_GB2312" w:eastAsia="楷体_GB2312" w:cs="楷体_GB2312"/>
          <w:kern w:val="0"/>
          <w:szCs w:val="32"/>
        </w:rPr>
        <w:t>五章　法律责任</w:t>
      </w:r>
    </w:p>
    <w:p w14:paraId="04B89086">
      <w:pPr>
        <w:keepNext w:val="0"/>
        <w:keepLines w:val="0"/>
        <w:pageBreakBefore w:val="0"/>
        <w:widowControl w:val="0"/>
        <w:kinsoku/>
        <w:wordWrap/>
        <w:overflowPunct/>
        <w:topLinePunct w:val="0"/>
        <w:autoSpaceDE/>
        <w:autoSpaceDN/>
        <w:bidi w:val="0"/>
        <w:adjustRightInd/>
        <w:snapToGrid/>
        <w:spacing w:line="560" w:lineRule="exact"/>
        <w:jc w:val="left"/>
        <w:textAlignment w:val="auto"/>
        <w:outlineLvl w:val="9"/>
        <w:rPr>
          <w:rFonts w:hint="eastAsia" w:ascii="楷体_GB2312" w:hAnsi="楷体_GB2312" w:eastAsia="楷体_GB2312" w:cs="楷体_GB2312"/>
          <w:kern w:val="0"/>
          <w:szCs w:val="32"/>
        </w:rPr>
      </w:pPr>
      <w:r>
        <w:rPr>
          <w:rFonts w:hint="eastAsia" w:ascii="楷体_GB2312" w:hAnsi="楷体_GB2312" w:eastAsia="楷体_GB2312" w:cs="楷体_GB2312"/>
          <w:kern w:val="0"/>
          <w:szCs w:val="32"/>
          <w:lang w:eastAsia="zh-CN"/>
        </w:rPr>
        <w:t>　　第</w:t>
      </w:r>
      <w:r>
        <w:rPr>
          <w:rFonts w:hint="eastAsia" w:ascii="楷体_GB2312" w:hAnsi="楷体_GB2312" w:eastAsia="楷体_GB2312" w:cs="楷体_GB2312"/>
          <w:kern w:val="0"/>
          <w:szCs w:val="32"/>
        </w:rPr>
        <w:t>六章　附则</w:t>
      </w:r>
    </w:p>
    <w:p w14:paraId="02AE37C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5AB91D98">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lang w:eastAsia="zh-CN"/>
        </w:rPr>
        <w:t>第</w:t>
      </w:r>
      <w:r>
        <w:rPr>
          <w:rFonts w:hint="eastAsia" w:ascii="黑体" w:hAnsi="黑体" w:eastAsia="黑体" w:cs="黑体"/>
          <w:kern w:val="0"/>
          <w:szCs w:val="32"/>
        </w:rPr>
        <w:t>一章　总则</w:t>
      </w:r>
    </w:p>
    <w:p w14:paraId="57C601B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29FE8E2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w:t>
      </w:r>
      <w:r>
        <w:rPr>
          <w:rFonts w:hint="eastAsia" w:ascii="黑体" w:hAnsi="黑体" w:eastAsia="黑体" w:cs="黑体"/>
          <w:kern w:val="0"/>
          <w:szCs w:val="32"/>
        </w:rPr>
        <w:t>一条</w:t>
      </w:r>
      <w:r>
        <w:rPr>
          <w:rFonts w:hint="eastAsia" w:ascii="宋体" w:hAnsi="宋体" w:cs="Arial"/>
          <w:kern w:val="0"/>
          <w:szCs w:val="32"/>
        </w:rPr>
        <w:t>　为保护合法的收养关系，维护收养关系当事人的权利，制定本法。</w:t>
      </w:r>
    </w:p>
    <w:p w14:paraId="4E86292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第二条</w:t>
      </w:r>
      <w:r>
        <w:rPr>
          <w:rFonts w:hint="eastAsia" w:ascii="宋体" w:hAnsi="宋体" w:cs="Arial"/>
          <w:kern w:val="0"/>
          <w:szCs w:val="32"/>
        </w:rPr>
        <w:t>　收养应当有利于被收养的未成年人的抚养、成长，保障被收养人和收养人的合法权益，遵循平等自愿的原则，并不得违背社会公德。</w:t>
      </w:r>
    </w:p>
    <w:p w14:paraId="2CC3335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第三条</w:t>
      </w:r>
      <w:r>
        <w:rPr>
          <w:rFonts w:hint="eastAsia" w:ascii="宋体" w:hAnsi="宋体" w:cs="Arial"/>
          <w:kern w:val="0"/>
          <w:szCs w:val="32"/>
        </w:rPr>
        <w:t>　收养不得违背计划生育的法律、法规。</w:t>
      </w:r>
    </w:p>
    <w:p w14:paraId="36034D5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lang w:eastAsia="zh-CN"/>
        </w:rPr>
      </w:pPr>
    </w:p>
    <w:p w14:paraId="1FA8AE24">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lang w:eastAsia="zh-CN"/>
        </w:rPr>
        <w:t>第</w:t>
      </w:r>
      <w:r>
        <w:rPr>
          <w:rFonts w:hint="eastAsia" w:ascii="黑体" w:hAnsi="黑体" w:eastAsia="黑体" w:cs="黑体"/>
          <w:kern w:val="0"/>
          <w:szCs w:val="32"/>
        </w:rPr>
        <w:t>二章　收养关系的成立</w:t>
      </w:r>
    </w:p>
    <w:p w14:paraId="315652E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lang w:eastAsia="zh-CN"/>
        </w:rPr>
      </w:pPr>
    </w:p>
    <w:p w14:paraId="1E051B2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第四条</w:t>
      </w:r>
      <w:r>
        <w:rPr>
          <w:rFonts w:hint="eastAsia" w:ascii="宋体" w:hAnsi="宋体" w:cs="Arial"/>
          <w:kern w:val="0"/>
          <w:szCs w:val="32"/>
        </w:rPr>
        <w:t>　下列不满十四周岁的未成年人可以被收养：</w:t>
      </w:r>
    </w:p>
    <w:p w14:paraId="33DDEE9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一）丧失父母的孤儿；</w:t>
      </w:r>
    </w:p>
    <w:p w14:paraId="34409EE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二）查找不到生父母的弃婴和儿童；</w:t>
      </w:r>
    </w:p>
    <w:p w14:paraId="27CCB2B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三）生父母有特殊困难无力抚养的子女。</w:t>
      </w:r>
    </w:p>
    <w:p w14:paraId="7B2ED3B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第五条</w:t>
      </w:r>
      <w:r>
        <w:rPr>
          <w:rFonts w:hint="eastAsia" w:ascii="宋体" w:hAnsi="宋体" w:cs="Arial"/>
          <w:kern w:val="0"/>
          <w:szCs w:val="32"/>
        </w:rPr>
        <w:t>　下列公民、组织可以作送养人：</w:t>
      </w:r>
    </w:p>
    <w:p w14:paraId="587987D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一）孤儿的监护人；</w:t>
      </w:r>
    </w:p>
    <w:p w14:paraId="41DBAD7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二）社会福利机构；</w:t>
      </w:r>
    </w:p>
    <w:p w14:paraId="54134F5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三）有特殊困难无力抚养子女的生父母。</w:t>
      </w:r>
    </w:p>
    <w:p w14:paraId="7B4F143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第六条</w:t>
      </w:r>
      <w:r>
        <w:rPr>
          <w:rFonts w:hint="eastAsia" w:ascii="宋体" w:hAnsi="宋体" w:cs="Arial"/>
          <w:kern w:val="0"/>
          <w:szCs w:val="32"/>
        </w:rPr>
        <w:t>　收养人应当同时具备下列条件：</w:t>
      </w:r>
    </w:p>
    <w:p w14:paraId="3663181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一）无子女；</w:t>
      </w:r>
    </w:p>
    <w:p w14:paraId="5974103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二）有抚养教育被收养人的能力；</w:t>
      </w:r>
    </w:p>
    <w:p w14:paraId="557E2F8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三）未患有在医学上认为不应当收养子女的疾病；</w:t>
      </w:r>
    </w:p>
    <w:p w14:paraId="7C0A798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四）年满三十周岁。</w:t>
      </w:r>
    </w:p>
    <w:p w14:paraId="44C6358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第七条</w:t>
      </w:r>
      <w:r>
        <w:rPr>
          <w:rFonts w:hint="eastAsia" w:ascii="宋体" w:hAnsi="宋体" w:cs="Arial"/>
          <w:kern w:val="0"/>
          <w:szCs w:val="32"/>
        </w:rPr>
        <w:t>　收养三代以内同辈旁系血亲的子女，可以不受本法第四条第三项、第五条第三项、第九条和被收养人不满十四周岁的限制。</w:t>
      </w:r>
    </w:p>
    <w:p w14:paraId="1033B55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华侨收养三代以内同辈旁系血亲的子女，还可以不受收养人无子女的限制。</w:t>
      </w:r>
    </w:p>
    <w:p w14:paraId="7E7F9CD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第八条</w:t>
      </w:r>
      <w:r>
        <w:rPr>
          <w:rFonts w:hint="eastAsia" w:ascii="宋体" w:hAnsi="宋体" w:cs="Arial"/>
          <w:kern w:val="0"/>
          <w:szCs w:val="32"/>
        </w:rPr>
        <w:t>　收养人只能收养一名子女。</w:t>
      </w:r>
    </w:p>
    <w:p w14:paraId="0DA4D47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收养孤儿、残疾儿童或者社会福利机构抚养的查找不到生父母的弃婴和儿童，可以不受收养人无子女和收养一名的限制。</w:t>
      </w:r>
    </w:p>
    <w:p w14:paraId="679FCA4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第九条</w:t>
      </w:r>
      <w:r>
        <w:rPr>
          <w:rFonts w:hint="eastAsia" w:ascii="宋体" w:hAnsi="宋体" w:cs="Arial"/>
          <w:kern w:val="0"/>
          <w:szCs w:val="32"/>
        </w:rPr>
        <w:t>　无配偶的男性收养女性的，收养人与被收养人的年龄应当相差四十周岁以上。</w:t>
      </w:r>
    </w:p>
    <w:p w14:paraId="24F420B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第十条</w:t>
      </w:r>
      <w:r>
        <w:rPr>
          <w:rFonts w:hint="eastAsia" w:ascii="宋体" w:hAnsi="宋体" w:cs="Arial"/>
          <w:kern w:val="0"/>
          <w:szCs w:val="32"/>
        </w:rPr>
        <w:t>　生父母送养子女，须双方共同送养。生父母一方不明或者查找不到的可以单方送养。</w:t>
      </w:r>
    </w:p>
    <w:p w14:paraId="45C4354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有配偶者收养子女，须夫妻共同收养。</w:t>
      </w:r>
    </w:p>
    <w:p w14:paraId="142171C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第十一条</w:t>
      </w:r>
      <w:r>
        <w:rPr>
          <w:rFonts w:hint="eastAsia" w:ascii="宋体" w:hAnsi="宋体" w:cs="Arial"/>
          <w:kern w:val="0"/>
          <w:szCs w:val="32"/>
        </w:rPr>
        <w:t>　收养人收养与送养人送养，须双方自愿。收养年满十周岁以上未成年人的，应当征得被收养人的同意。</w:t>
      </w:r>
    </w:p>
    <w:p w14:paraId="127B280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第十二条</w:t>
      </w:r>
      <w:r>
        <w:rPr>
          <w:rFonts w:hint="eastAsia" w:ascii="宋体" w:hAnsi="宋体" w:cs="Arial"/>
          <w:kern w:val="0"/>
          <w:szCs w:val="32"/>
        </w:rPr>
        <w:t>　未成年人的父母均不具备完全民事行为能力的，该未成年人的监护人不得将其送养，但父母对该未成年人有严重危害可能的除外。</w:t>
      </w:r>
    </w:p>
    <w:p w14:paraId="715F56A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第十三条</w:t>
      </w:r>
      <w:r>
        <w:rPr>
          <w:rFonts w:hint="eastAsia" w:ascii="宋体" w:hAnsi="宋体" w:cs="Arial"/>
          <w:kern w:val="0"/>
          <w:szCs w:val="32"/>
        </w:rPr>
        <w:t>　监护人送养未成年孤儿的，须征得有抚养义务的人同意。有抚养义务的人不同意送养、监护人不愿意继续履行监护职责的，应当依照《</w:t>
      </w:r>
      <w:r>
        <w:rPr>
          <w:rFonts w:hint="eastAsia" w:ascii="宋体" w:hAnsi="宋体" w:cs="Arial"/>
          <w:kern w:val="0"/>
          <w:szCs w:val="32"/>
          <w:lang w:eastAsia="zh-CN"/>
        </w:rPr>
        <w:t>和平民主王国</w:t>
      </w:r>
      <w:r>
        <w:rPr>
          <w:rFonts w:hint="eastAsia" w:ascii="宋体" w:hAnsi="宋体" w:cs="Arial"/>
          <w:kern w:val="0"/>
          <w:szCs w:val="32"/>
        </w:rPr>
        <w:t>民法通则》的规定变更监护人。</w:t>
      </w:r>
    </w:p>
    <w:p w14:paraId="4331307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第十四条</w:t>
      </w:r>
      <w:r>
        <w:rPr>
          <w:rFonts w:hint="eastAsia" w:ascii="宋体" w:hAnsi="宋体" w:cs="Arial"/>
          <w:kern w:val="0"/>
          <w:szCs w:val="32"/>
        </w:rPr>
        <w:t>　继父或者继母经继子女的生父母同意，可以收养继子女，并可以不受本法第四条第三项、第五条第三项、第六条和被收养人不满十四周岁以及收养一名的限制。</w:t>
      </w:r>
    </w:p>
    <w:p w14:paraId="2EB1E1C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第十五条</w:t>
      </w:r>
      <w:r>
        <w:rPr>
          <w:rFonts w:hint="eastAsia" w:ascii="宋体" w:hAnsi="宋体" w:cs="Arial"/>
          <w:kern w:val="0"/>
          <w:szCs w:val="32"/>
        </w:rPr>
        <w:t>　收养应当向县级以上人民政府民政部门登记。收养关系自登记之日起成立。</w:t>
      </w:r>
    </w:p>
    <w:p w14:paraId="3AE6E5D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收养查找不到生父母的弃婴和儿童的，办理登记的民政部门应当在登记前予以公告。</w:t>
      </w:r>
    </w:p>
    <w:p w14:paraId="34135F8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收养关系当事人愿意订立收养协议的，可以订立收养协议。</w:t>
      </w:r>
    </w:p>
    <w:p w14:paraId="0C5F6B3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收养关系当事人各方或者一方要求办理收养公证的，应当办理收养公证。</w:t>
      </w:r>
    </w:p>
    <w:p w14:paraId="0779F33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第十六条</w:t>
      </w:r>
      <w:r>
        <w:rPr>
          <w:rFonts w:hint="eastAsia" w:ascii="宋体" w:hAnsi="宋体" w:cs="Arial"/>
          <w:kern w:val="0"/>
          <w:szCs w:val="32"/>
        </w:rPr>
        <w:t>　收养关系成立后，公安部门应当依照国家有关规定为被收养人办理户口登记。</w:t>
      </w:r>
    </w:p>
    <w:p w14:paraId="2DC0D62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第十七条</w:t>
      </w:r>
      <w:r>
        <w:rPr>
          <w:rFonts w:hint="eastAsia" w:ascii="宋体" w:hAnsi="宋体" w:cs="Arial"/>
          <w:kern w:val="0"/>
          <w:szCs w:val="32"/>
        </w:rPr>
        <w:t>　孤儿或者生父母无力抚养的子女，可以由生父母的亲属、朋友抚养。</w:t>
      </w:r>
    </w:p>
    <w:p w14:paraId="784F7C7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抚养人与被抚养人的关系不适用收养关系。</w:t>
      </w:r>
    </w:p>
    <w:p w14:paraId="577C032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第十八条</w:t>
      </w:r>
      <w:r>
        <w:rPr>
          <w:rFonts w:hint="eastAsia" w:ascii="宋体" w:hAnsi="宋体" w:cs="Arial"/>
          <w:kern w:val="0"/>
          <w:szCs w:val="32"/>
        </w:rPr>
        <w:t>　配偶一方死亡，另一方送养未成年子女的，死亡一方的父母有优先抚养的权利。</w:t>
      </w:r>
    </w:p>
    <w:p w14:paraId="7F95A88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第十九条</w:t>
      </w:r>
      <w:r>
        <w:rPr>
          <w:rFonts w:hint="eastAsia" w:ascii="宋体" w:hAnsi="宋体" w:cs="Arial"/>
          <w:kern w:val="0"/>
          <w:szCs w:val="32"/>
        </w:rPr>
        <w:t>　送养人不得以送养子女为理由违反计划生育的规定再生育子女。</w:t>
      </w:r>
    </w:p>
    <w:p w14:paraId="48B21A3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第二十条</w:t>
      </w:r>
      <w:r>
        <w:rPr>
          <w:rFonts w:hint="eastAsia" w:ascii="宋体" w:hAnsi="宋体" w:cs="Arial"/>
          <w:kern w:val="0"/>
          <w:szCs w:val="32"/>
        </w:rPr>
        <w:t>　严禁买卖儿童或者借收养名义买卖儿童。</w:t>
      </w:r>
    </w:p>
    <w:p w14:paraId="7A49E4D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第二十一条</w:t>
      </w:r>
      <w:r>
        <w:rPr>
          <w:rFonts w:hint="eastAsia" w:ascii="宋体" w:hAnsi="宋体" w:cs="Arial"/>
          <w:kern w:val="0"/>
          <w:szCs w:val="32"/>
        </w:rPr>
        <w:t>　外国人依照本法可以在</w:t>
      </w:r>
      <w:r>
        <w:rPr>
          <w:rFonts w:hint="eastAsia" w:ascii="宋体" w:hAnsi="宋体" w:cs="Arial"/>
          <w:kern w:val="0"/>
          <w:szCs w:val="32"/>
          <w:lang w:eastAsia="zh-CN"/>
        </w:rPr>
        <w:t>和平民主王国</w:t>
      </w:r>
      <w:r>
        <w:rPr>
          <w:rFonts w:hint="eastAsia" w:ascii="宋体" w:hAnsi="宋体" w:cs="Arial"/>
          <w:kern w:val="0"/>
          <w:szCs w:val="32"/>
        </w:rPr>
        <w:t>收养子女。</w:t>
      </w:r>
    </w:p>
    <w:p w14:paraId="69101F5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外国人在</w:t>
      </w:r>
      <w:r>
        <w:rPr>
          <w:rFonts w:hint="eastAsia" w:ascii="宋体" w:hAnsi="宋体" w:cs="Arial"/>
          <w:kern w:val="0"/>
          <w:szCs w:val="32"/>
          <w:lang w:eastAsia="zh-CN"/>
        </w:rPr>
        <w:t>和平民主王国</w:t>
      </w:r>
      <w:r>
        <w:rPr>
          <w:rFonts w:hint="eastAsia" w:ascii="宋体" w:hAnsi="宋体" w:cs="Arial"/>
          <w:kern w:val="0"/>
          <w:szCs w:val="32"/>
        </w:rPr>
        <w:t>收养子女，应当经其所在国主管机关依照该国法律审查同意。收养人应当提供由其所在国有权机构出具的有关收养人的年龄、婚姻、职业、财产、健康、有无受过刑事处罚等状况的证明材料，该证明材料应当经其所在国外交机关或者外交机关授权的机构认证，并经</w:t>
      </w:r>
      <w:r>
        <w:rPr>
          <w:rFonts w:hint="eastAsia" w:ascii="宋体" w:hAnsi="宋体" w:cs="Arial"/>
          <w:kern w:val="0"/>
          <w:szCs w:val="32"/>
          <w:lang w:eastAsia="zh-CN"/>
        </w:rPr>
        <w:t>和平民主王国</w:t>
      </w:r>
      <w:r>
        <w:rPr>
          <w:rFonts w:hint="eastAsia" w:ascii="宋体" w:hAnsi="宋体" w:cs="Arial"/>
          <w:kern w:val="0"/>
          <w:szCs w:val="32"/>
        </w:rPr>
        <w:t>驻该国使领馆认证。该收养人应当与送养人订立书面协议，亲自向省级人民政府民政部门登记。</w:t>
      </w:r>
    </w:p>
    <w:p w14:paraId="0E3586F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收养关系当事人各方或者一方要求办理收养公证的，应当到国务院司法行政部门认定的具有办理涉外公证资格的公证机构办理收养公证。</w:t>
      </w:r>
    </w:p>
    <w:p w14:paraId="7D2BACE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第二十二条</w:t>
      </w:r>
      <w:r>
        <w:rPr>
          <w:rFonts w:hint="eastAsia" w:ascii="宋体" w:hAnsi="宋体" w:cs="Arial"/>
          <w:kern w:val="0"/>
          <w:szCs w:val="32"/>
        </w:rPr>
        <w:t>　收养人、送养人要求保守收养秘密的，其他人应当尊重其意愿，不得泄露。</w:t>
      </w:r>
    </w:p>
    <w:p w14:paraId="4A4606A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lang w:eastAsia="zh-CN"/>
        </w:rPr>
      </w:pPr>
    </w:p>
    <w:p w14:paraId="76B876D8">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lang w:eastAsia="zh-CN"/>
        </w:rPr>
        <w:t>第</w:t>
      </w:r>
      <w:r>
        <w:rPr>
          <w:rFonts w:hint="eastAsia" w:ascii="黑体" w:hAnsi="黑体" w:eastAsia="黑体" w:cs="黑体"/>
          <w:kern w:val="0"/>
          <w:szCs w:val="32"/>
        </w:rPr>
        <w:t>三章　收养的效力</w:t>
      </w:r>
    </w:p>
    <w:p w14:paraId="6A69D54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lang w:eastAsia="zh-CN"/>
        </w:rPr>
      </w:pPr>
    </w:p>
    <w:p w14:paraId="0E1639D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第二十三条</w:t>
      </w:r>
      <w:r>
        <w:rPr>
          <w:rFonts w:hint="eastAsia" w:ascii="宋体" w:hAnsi="宋体" w:cs="Arial"/>
          <w:kern w:val="0"/>
          <w:szCs w:val="32"/>
        </w:rPr>
        <w:t>　自收养关系成立之日起，养父母与养子女间的权利义务关系，适用法律关于父母子女关系的规定；养子女与养父母的近亲属间的权利义务关系，适用法律关于子女与父母的近亲属关系的规定。</w:t>
      </w:r>
    </w:p>
    <w:p w14:paraId="6355FF7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养子女与生父母及其他近亲属间的权利义务关系，因收养关系的成立而消除。</w:t>
      </w:r>
    </w:p>
    <w:p w14:paraId="3937237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第二十四条</w:t>
      </w:r>
      <w:r>
        <w:rPr>
          <w:rFonts w:hint="eastAsia" w:ascii="宋体" w:hAnsi="宋体" w:cs="Arial"/>
          <w:kern w:val="0"/>
          <w:szCs w:val="32"/>
        </w:rPr>
        <w:t>　养子女可以随养父或者养母的姓，经当事人协商一致，也可以保留原姓。</w:t>
      </w:r>
    </w:p>
    <w:p w14:paraId="1D1371F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第二十五条</w:t>
      </w:r>
      <w:r>
        <w:rPr>
          <w:rFonts w:hint="eastAsia" w:ascii="宋体" w:hAnsi="宋体" w:cs="Arial"/>
          <w:kern w:val="0"/>
          <w:szCs w:val="32"/>
        </w:rPr>
        <w:t>　违反《</w:t>
      </w:r>
      <w:r>
        <w:rPr>
          <w:rFonts w:hint="eastAsia" w:ascii="宋体" w:hAnsi="宋体" w:cs="Arial"/>
          <w:kern w:val="0"/>
          <w:szCs w:val="32"/>
          <w:lang w:eastAsia="zh-CN"/>
        </w:rPr>
        <w:t>和平民主王国</w:t>
      </w:r>
      <w:r>
        <w:rPr>
          <w:rFonts w:hint="eastAsia" w:ascii="宋体" w:hAnsi="宋体" w:cs="Arial"/>
          <w:kern w:val="0"/>
          <w:szCs w:val="32"/>
        </w:rPr>
        <w:t>民法通则》第五十五条和本法规定的收养行为无法律效力。</w:t>
      </w:r>
    </w:p>
    <w:p w14:paraId="508237A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收养行为被人民法院确认无效的，从行为开始时起就没有法律效力。</w:t>
      </w:r>
    </w:p>
    <w:p w14:paraId="6B74417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lang w:eastAsia="zh-CN"/>
        </w:rPr>
      </w:pPr>
    </w:p>
    <w:p w14:paraId="6338FDBA">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lang w:eastAsia="zh-CN"/>
        </w:rPr>
        <w:t>第</w:t>
      </w:r>
      <w:r>
        <w:rPr>
          <w:rFonts w:hint="eastAsia" w:ascii="黑体" w:hAnsi="黑体" w:eastAsia="黑体" w:cs="黑体"/>
          <w:kern w:val="0"/>
          <w:szCs w:val="32"/>
        </w:rPr>
        <w:t>四章　收养关系的解除</w:t>
      </w:r>
    </w:p>
    <w:p w14:paraId="1D5858C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lang w:eastAsia="zh-CN"/>
        </w:rPr>
      </w:pPr>
    </w:p>
    <w:p w14:paraId="382EA5E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第二十六条</w:t>
      </w:r>
      <w:r>
        <w:rPr>
          <w:rFonts w:hint="eastAsia" w:ascii="宋体" w:hAnsi="宋体" w:cs="Arial"/>
          <w:kern w:val="0"/>
          <w:szCs w:val="32"/>
        </w:rPr>
        <w:t>　收养人在被收养人成年以前，不得解除收养关系，但收养人、送养人双方协议解除的除外，养子女年满十周岁以上的，应当征得本人同意。</w:t>
      </w:r>
    </w:p>
    <w:p w14:paraId="1D17E92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收养人不履行抚养义务，有虐待、遗弃等侵害未成年养子女合法权益行为的，送养人有权要求解除养父母与养子女间的收养关系。送养人、收养人不能达成解除收养关系协议的，可以向人民法院起诉。</w:t>
      </w:r>
    </w:p>
    <w:p w14:paraId="52720AB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第二十七条</w:t>
      </w:r>
      <w:r>
        <w:rPr>
          <w:rFonts w:hint="eastAsia" w:ascii="宋体" w:hAnsi="宋体" w:cs="Arial"/>
          <w:kern w:val="0"/>
          <w:szCs w:val="32"/>
        </w:rPr>
        <w:t>　养父母与成年养子女关系恶化、无法共同生活的，可以协议解除收养关系。不能达成协议的，可以向人民法院起诉。</w:t>
      </w:r>
    </w:p>
    <w:p w14:paraId="1F24A66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第二十八条</w:t>
      </w:r>
      <w:r>
        <w:rPr>
          <w:rFonts w:hint="eastAsia" w:ascii="宋体" w:hAnsi="宋体" w:cs="Arial"/>
          <w:kern w:val="0"/>
          <w:szCs w:val="32"/>
        </w:rPr>
        <w:t>　当事人协议解除收养关系的，应当到民政部门办理解除收养关系的登记。</w:t>
      </w:r>
    </w:p>
    <w:p w14:paraId="4D577C4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第二十九条</w:t>
      </w:r>
      <w:r>
        <w:rPr>
          <w:rFonts w:hint="eastAsia" w:ascii="宋体" w:hAnsi="宋体" w:cs="Arial"/>
          <w:kern w:val="0"/>
          <w:szCs w:val="32"/>
        </w:rPr>
        <w:t>　收养关系解除后，养子女与养父母及其他近亲属间的权利义务关系即行消除，与生父母及其他近亲属间的权利义务关系自行恢复，但成年养子女与生父母及其他近亲属间的权利义务关系是否恢复，可以协商确定。</w:t>
      </w:r>
    </w:p>
    <w:p w14:paraId="0C91A66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第三十条</w:t>
      </w:r>
      <w:r>
        <w:rPr>
          <w:rFonts w:hint="eastAsia" w:ascii="宋体" w:hAnsi="宋体" w:cs="Arial"/>
          <w:kern w:val="0"/>
          <w:szCs w:val="32"/>
        </w:rPr>
        <w:t>　收养关系解除后，经养父母抚养的成年养子女，对缺乏劳动能力又缺乏生活来源的养父母，应当给付生活费。因养子女成年后虐待、遗弃养父母而解除收养关系的，养父母可以要求养子女补偿收养期间支出的生活费和教育费。</w:t>
      </w:r>
    </w:p>
    <w:p w14:paraId="2130205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生父母要求解除收养关系的，养父母可以要求生父母适当补偿收养期间支出的生活费和教育费，但因养父母虐待、遗弃养子女而解除收养关系的除外。</w:t>
      </w:r>
    </w:p>
    <w:p w14:paraId="252955C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lang w:eastAsia="zh-CN"/>
        </w:rPr>
      </w:pPr>
    </w:p>
    <w:p w14:paraId="613F11FB">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lang w:eastAsia="zh-CN"/>
        </w:rPr>
        <w:t>第</w:t>
      </w:r>
      <w:r>
        <w:rPr>
          <w:rFonts w:hint="eastAsia" w:ascii="黑体" w:hAnsi="黑体" w:eastAsia="黑体" w:cs="黑体"/>
          <w:kern w:val="0"/>
          <w:szCs w:val="32"/>
        </w:rPr>
        <w:t>五章　法律责任</w:t>
      </w:r>
    </w:p>
    <w:p w14:paraId="704F0A7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lang w:eastAsia="zh-CN"/>
        </w:rPr>
      </w:pPr>
    </w:p>
    <w:p w14:paraId="31954AD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第三十一条</w:t>
      </w:r>
      <w:r>
        <w:rPr>
          <w:rFonts w:hint="eastAsia" w:ascii="宋体" w:hAnsi="宋体" w:cs="Arial"/>
          <w:kern w:val="0"/>
          <w:szCs w:val="32"/>
        </w:rPr>
        <w:t>　借收养名义拐卖儿童的，依法追究刑事责任。</w:t>
      </w:r>
    </w:p>
    <w:p w14:paraId="58EC21A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遗弃婴儿的，由公安部门处以罚款；构成犯罪的，依法追究刑事责任。</w:t>
      </w:r>
    </w:p>
    <w:p w14:paraId="21FAAF9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出卖亲生子女的，由公安部门没收非法所得，并处以罚款；构成犯罪的，依法追究刑事责任。</w:t>
      </w:r>
    </w:p>
    <w:p w14:paraId="6C2B73A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lang w:eastAsia="zh-CN"/>
        </w:rPr>
      </w:pPr>
    </w:p>
    <w:p w14:paraId="1E4F4095">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lang w:eastAsia="zh-CN"/>
        </w:rPr>
        <w:t>第</w:t>
      </w:r>
      <w:r>
        <w:rPr>
          <w:rFonts w:hint="eastAsia" w:ascii="黑体" w:hAnsi="黑体" w:eastAsia="黑体" w:cs="黑体"/>
          <w:kern w:val="0"/>
          <w:szCs w:val="32"/>
        </w:rPr>
        <w:t>六章　附则</w:t>
      </w:r>
    </w:p>
    <w:p w14:paraId="157C72C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lang w:eastAsia="zh-CN"/>
        </w:rPr>
      </w:pPr>
    </w:p>
    <w:p w14:paraId="060E224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第三十二条</w:t>
      </w:r>
      <w:r>
        <w:rPr>
          <w:rFonts w:hint="eastAsia" w:ascii="宋体" w:hAnsi="宋体" w:cs="Arial"/>
          <w:kern w:val="0"/>
          <w:szCs w:val="32"/>
        </w:rPr>
        <w:t>　民族自治地方的人民代表大会及其常务委员会可以根据本法的原则，结合当地情况，制定变通的或者补充的规定。自治区的规定，报全国人民代表大会常务委员会备案。自治州、自治县的规定，报省或者自治区的人民代表大会常务委员会批准后生效，并报全国人民代表大会常务委员会备案。</w:t>
      </w:r>
    </w:p>
    <w:p w14:paraId="4E64B68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第三十三条</w:t>
      </w:r>
      <w:r>
        <w:rPr>
          <w:rFonts w:hint="eastAsia" w:ascii="宋体" w:hAnsi="宋体" w:cs="Arial"/>
          <w:kern w:val="0"/>
          <w:szCs w:val="32"/>
        </w:rPr>
        <w:t>　国务院可以根据本法制定实施办法。</w:t>
      </w:r>
    </w:p>
    <w:p w14:paraId="27B9378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第三十四条</w:t>
      </w:r>
      <w:r>
        <w:rPr>
          <w:rFonts w:hint="eastAsia" w:ascii="Times New Roman" w:hAnsi="Times New Roman" w:cs="Arial"/>
          <w:kern w:val="0"/>
          <w:szCs w:val="32"/>
        </w:rPr>
        <w:t>　本法自</w:t>
      </w:r>
      <w:r>
        <w:rPr>
          <w:rFonts w:hint="eastAsia" w:cs="Arial"/>
          <w:kern w:val="0"/>
          <w:szCs w:val="32"/>
          <w:lang w:eastAsia="zh-CN"/>
        </w:rPr>
        <w:t>和平民主王国</w:t>
      </w:r>
      <w:r>
        <w:rPr>
          <w:rFonts w:hint="eastAsia" w:ascii="Times New Roman" w:hAnsi="Times New Roman" w:cs="Arial"/>
          <w:kern w:val="0"/>
          <w:szCs w:val="32"/>
        </w:rPr>
        <w:t>建国之日起开始生效。</w:t>
      </w:r>
    </w:p>
    <w:sectPr>
      <w:headerReference r:id="rId3" w:type="default"/>
      <w:footerReference r:id="rId5" w:type="default"/>
      <w:headerReference r:id="rId4" w:type="even"/>
      <w:footerReference r:id="rId6" w:type="even"/>
      <w:pgSz w:w="11850" w:h="16783"/>
      <w:pgMar w:top="2098" w:right="1417" w:bottom="1928" w:left="1587" w:header="851" w:footer="1253" w:gutter="0"/>
      <w:pgNumType w:fmt="decimal" w:start="1"/>
      <w:cols w:space="0" w:num="1"/>
      <w:rtlGutter w:val="0"/>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8B59E3">
    <w:pPr>
      <w:pStyle w:val="8"/>
    </w:pPr>
    <w:r>
      <w:rPr>
        <w:sz w:val="18"/>
      </w:rPr>
      <mc:AlternateContent>
        <mc:Choice Requires="wps">
          <w:drawing>
            <wp:anchor distT="0" distB="0" distL="114300" distR="114300" simplePos="0" relativeHeight="251659264" behindDoc="0" locked="0" layoutInCell="1" allowOverlap="1">
              <wp:simplePos x="0" y="0"/>
              <wp:positionH relativeFrom="margin">
                <wp:posOffset>4778375</wp:posOffset>
              </wp:positionH>
              <wp:positionV relativeFrom="paragraph">
                <wp:posOffset>0</wp:posOffset>
              </wp:positionV>
              <wp:extent cx="80264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80264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2F1F532">
                          <w:pPr>
                            <w:pStyle w:val="8"/>
                            <w:wordWrap w:val="0"/>
                            <w:jc w:val="right"/>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- 1 -</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w:t>
                          </w:r>
                        </w:p>
                      </w:txbxContent>
                    </wps:txbx>
                    <wps:bodyPr rot="0" spcFirstLastPara="0" vertOverflow="overflow" horzOverflow="overflow" vert="horz" wrap="squar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left:376.25pt;margin-top:0pt;height:144pt;width:63.2pt;mso-position-horizontal-relative:margin;z-index:251659264;mso-width-relative:page;mso-height-relative:page;" filled="f" stroked="f" coordsize="21600,21600" o:gfxdata="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">
              <v:fill on="f" focussize="0,0"/>
              <v:stroke on="f" weight="0.5pt"/>
              <v:imagedata o:title=""/>
              <o:lock v:ext="edit" aspectratio="f"/>
              <v:textbox inset="0mm,0mm,0mm,0mm" style="mso-fit-shape-to-text:t;">
                <w:txbxContent>
                  <w:p w14:paraId="62F1F532">
                    <w:pPr>
                      <w:pStyle w:val="8"/>
                      <w:wordWrap w:val="0"/>
                      <w:jc w:val="right"/>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- 1 -</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FFDFC8">
    <w:pPr>
      <w:pStyle w:val="8"/>
    </w:pPr>
    <w:r>
      <w:rPr>
        <w:sz w:val="18"/>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AE4922D">
                          <w:pPr>
                            <w:pStyle w:val="8"/>
                            <w:rPr>
                              <w:rFonts w:hint="eastAsia" w:ascii="宋体" w:hAnsi="宋体" w:eastAsia="宋体" w:cs="宋体"/>
                              <w:sz w:val="28"/>
                              <w:szCs w:val="28"/>
                              <w:lang w:eastAsia="zh-CN"/>
                            </w:rPr>
                          </w:pPr>
                          <w:r>
                            <w:rPr>
                              <w:rFonts w:hint="eastAsia" w:ascii="宋体" w:hAnsi="宋体" w:eastAsia="宋体" w:cs="宋体"/>
                              <w:sz w:val="28"/>
                              <w:szCs w:val="28"/>
                              <w:lang w:eastAsia="zh-CN"/>
                            </w:rPr>
                            <w:t>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2</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0AE4922D">
                    <w:pPr>
                      <w:pStyle w:val="8"/>
                      <w:rPr>
                        <w:rFonts w:hint="eastAsia" w:ascii="宋体" w:hAnsi="宋体" w:eastAsia="宋体" w:cs="宋体"/>
                        <w:sz w:val="28"/>
                        <w:szCs w:val="28"/>
                        <w:lang w:eastAsia="zh-CN"/>
                      </w:rPr>
                    </w:pPr>
                    <w:r>
                      <w:rPr>
                        <w:rFonts w:hint="eastAsia" w:ascii="宋体" w:hAnsi="宋体" w:eastAsia="宋体" w:cs="宋体"/>
                        <w:sz w:val="28"/>
                        <w:szCs w:val="28"/>
                        <w:lang w:eastAsia="zh-CN"/>
                      </w:rPr>
                      <w:t>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2</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E19C69">
    <w:pPr>
      <w:pStyle w:val="9"/>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959C9C">
    <w:pPr>
      <w:pStyle w:val="9"/>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9D25414"/>
    <w:multiLevelType w:val="multilevel"/>
    <w:tmpl w:val="49D25414"/>
    <w:lvl w:ilvl="0" w:tentative="0">
      <w:start w:val="1"/>
      <w:numFmt w:val="decimal"/>
      <w:lvlText w:val="%1"/>
      <w:lvlJc w:val="left"/>
      <w:pPr>
        <w:ind w:left="425" w:hanging="425"/>
      </w:pPr>
    </w:lvl>
    <w:lvl w:ilvl="1" w:tentative="0">
      <w:start w:val="1"/>
      <w:numFmt w:val="decimal"/>
      <w:pStyle w:val="22"/>
      <w:lvlText w:val="%1.%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evenAndOddHeaders w:val="1"/>
  <w:drawingGridHorizontalSpacing w:val="160"/>
  <w:drawingGridVerticalSpacing w:val="435"/>
  <w:displayHorizontalDrawingGridEvery w:val="0"/>
  <w:displayVerticalDrawingGridEvery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2FF2"/>
    <w:rsid w:val="000408C7"/>
    <w:rsid w:val="00047741"/>
    <w:rsid w:val="0005018B"/>
    <w:rsid w:val="00062E6C"/>
    <w:rsid w:val="000778B0"/>
    <w:rsid w:val="000803E8"/>
    <w:rsid w:val="000E7366"/>
    <w:rsid w:val="001033D0"/>
    <w:rsid w:val="00125D8F"/>
    <w:rsid w:val="00130DFD"/>
    <w:rsid w:val="00152F70"/>
    <w:rsid w:val="0017628A"/>
    <w:rsid w:val="001A2752"/>
    <w:rsid w:val="001A3C91"/>
    <w:rsid w:val="001A5F92"/>
    <w:rsid w:val="001D6F2E"/>
    <w:rsid w:val="001E2657"/>
    <w:rsid w:val="002070BD"/>
    <w:rsid w:val="0021593C"/>
    <w:rsid w:val="00233C4A"/>
    <w:rsid w:val="002407D9"/>
    <w:rsid w:val="00277DE5"/>
    <w:rsid w:val="00297298"/>
    <w:rsid w:val="002979E0"/>
    <w:rsid w:val="002A3EF0"/>
    <w:rsid w:val="002F7DF8"/>
    <w:rsid w:val="00304A84"/>
    <w:rsid w:val="00320296"/>
    <w:rsid w:val="00341FBF"/>
    <w:rsid w:val="00361106"/>
    <w:rsid w:val="003870B2"/>
    <w:rsid w:val="00405342"/>
    <w:rsid w:val="0041162C"/>
    <w:rsid w:val="004B29FD"/>
    <w:rsid w:val="004B5AED"/>
    <w:rsid w:val="004E0129"/>
    <w:rsid w:val="004E3F7A"/>
    <w:rsid w:val="004F3FA8"/>
    <w:rsid w:val="004F682B"/>
    <w:rsid w:val="005521DE"/>
    <w:rsid w:val="005866F9"/>
    <w:rsid w:val="00597FF0"/>
    <w:rsid w:val="005B4D16"/>
    <w:rsid w:val="005C6A1B"/>
    <w:rsid w:val="005E5EEF"/>
    <w:rsid w:val="006125B7"/>
    <w:rsid w:val="0061561D"/>
    <w:rsid w:val="006208B2"/>
    <w:rsid w:val="00661B2B"/>
    <w:rsid w:val="006858D8"/>
    <w:rsid w:val="006B016C"/>
    <w:rsid w:val="006B487D"/>
    <w:rsid w:val="006B7880"/>
    <w:rsid w:val="0079691A"/>
    <w:rsid w:val="00831E9A"/>
    <w:rsid w:val="008A5502"/>
    <w:rsid w:val="008D5D88"/>
    <w:rsid w:val="008F69CD"/>
    <w:rsid w:val="00900D1F"/>
    <w:rsid w:val="00902FF2"/>
    <w:rsid w:val="009857B2"/>
    <w:rsid w:val="00996A63"/>
    <w:rsid w:val="009D7B72"/>
    <w:rsid w:val="009E6421"/>
    <w:rsid w:val="009E6A54"/>
    <w:rsid w:val="00A122B2"/>
    <w:rsid w:val="00A227B8"/>
    <w:rsid w:val="00A265F6"/>
    <w:rsid w:val="00A30678"/>
    <w:rsid w:val="00A54E5C"/>
    <w:rsid w:val="00AC1677"/>
    <w:rsid w:val="00AF3EA3"/>
    <w:rsid w:val="00B116B4"/>
    <w:rsid w:val="00B146D8"/>
    <w:rsid w:val="00B30D5E"/>
    <w:rsid w:val="00B5205C"/>
    <w:rsid w:val="00B86404"/>
    <w:rsid w:val="00B95A4E"/>
    <w:rsid w:val="00B9697E"/>
    <w:rsid w:val="00BD4FD8"/>
    <w:rsid w:val="00BD5ABA"/>
    <w:rsid w:val="00C066A8"/>
    <w:rsid w:val="00CE5247"/>
    <w:rsid w:val="00D54AF3"/>
    <w:rsid w:val="00D54B93"/>
    <w:rsid w:val="00D70A89"/>
    <w:rsid w:val="00D76CB4"/>
    <w:rsid w:val="00D84514"/>
    <w:rsid w:val="00DC5C43"/>
    <w:rsid w:val="00DD0B8B"/>
    <w:rsid w:val="00E235DD"/>
    <w:rsid w:val="00E64956"/>
    <w:rsid w:val="00EE4F6D"/>
    <w:rsid w:val="00F00D39"/>
    <w:rsid w:val="00FA3C68"/>
    <w:rsid w:val="00FC68C1"/>
    <w:rsid w:val="08210A6D"/>
    <w:rsid w:val="0B957AC8"/>
    <w:rsid w:val="0C4E6F56"/>
    <w:rsid w:val="0D2F2A95"/>
    <w:rsid w:val="19F86B68"/>
    <w:rsid w:val="1F8217AE"/>
    <w:rsid w:val="20086079"/>
    <w:rsid w:val="2F7753E6"/>
    <w:rsid w:val="3258761C"/>
    <w:rsid w:val="3BAE2023"/>
    <w:rsid w:val="441354F9"/>
    <w:rsid w:val="44BC0EEC"/>
    <w:rsid w:val="471263AE"/>
    <w:rsid w:val="482A39F4"/>
    <w:rsid w:val="56755F92"/>
    <w:rsid w:val="653A70E2"/>
    <w:rsid w:val="6559151B"/>
    <w:rsid w:val="6C1E17DE"/>
    <w:rsid w:val="72406E3D"/>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2">
    <w:name w:val="heading 1"/>
    <w:basedOn w:val="1"/>
    <w:next w:val="1"/>
    <w:link w:val="27"/>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1"/>
    <w:qFormat/>
    <w:uiPriority w:val="9"/>
    <w:pPr>
      <w:keepNext/>
      <w:keepLines/>
      <w:spacing w:before="260" w:after="260" w:line="416" w:lineRule="auto"/>
      <w:ind w:firstLine="200" w:firstLineChars="200"/>
      <w:jc w:val="left"/>
      <w:outlineLvl w:val="1"/>
    </w:pPr>
    <w:rPr>
      <w:rFonts w:ascii="Cambria" w:hAnsi="Cambria" w:eastAsia="宋体"/>
      <w:b/>
      <w:bCs/>
      <w:szCs w:val="32"/>
    </w:rPr>
  </w:style>
  <w:style w:type="paragraph" w:styleId="4">
    <w:name w:val="heading 3"/>
    <w:basedOn w:val="1"/>
    <w:next w:val="1"/>
    <w:link w:val="30"/>
    <w:qFormat/>
    <w:uiPriority w:val="0"/>
    <w:pPr>
      <w:keepNext/>
      <w:keepLines/>
      <w:spacing w:before="260" w:after="260" w:line="416" w:lineRule="auto"/>
      <w:outlineLvl w:val="2"/>
    </w:pPr>
    <w:rPr>
      <w:b/>
      <w:bCs/>
      <w:szCs w:val="32"/>
    </w:rPr>
  </w:style>
  <w:style w:type="character" w:default="1" w:styleId="15">
    <w:name w:val="Default Paragraph Font"/>
    <w:semiHidden/>
    <w:qFormat/>
    <w:uiPriority w:val="0"/>
  </w:style>
  <w:style w:type="table" w:default="1" w:styleId="14">
    <w:name w:val="Normal Table"/>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5">
    <w:name w:val="Document Map"/>
    <w:basedOn w:val="1"/>
    <w:semiHidden/>
    <w:qFormat/>
    <w:uiPriority w:val="0"/>
    <w:pPr>
      <w:shd w:val="clear" w:color="auto" w:fill="000080"/>
    </w:pPr>
  </w:style>
  <w:style w:type="paragraph" w:styleId="6">
    <w:name w:val="Plain Text"/>
    <w:basedOn w:val="1"/>
    <w:link w:val="24"/>
    <w:unhideWhenUsed/>
    <w:qFormat/>
    <w:uiPriority w:val="99"/>
    <w:rPr>
      <w:rFonts w:ascii="宋体" w:hAnsi="Courier New" w:eastAsia="宋体"/>
      <w:sz w:val="21"/>
      <w:szCs w:val="21"/>
    </w:rPr>
  </w:style>
  <w:style w:type="paragraph" w:styleId="7">
    <w:name w:val="Balloon Text"/>
    <w:basedOn w:val="1"/>
    <w:semiHidden/>
    <w:qFormat/>
    <w:uiPriority w:val="0"/>
    <w:rPr>
      <w:sz w:val="18"/>
      <w:szCs w:val="18"/>
    </w:rPr>
  </w:style>
  <w:style w:type="paragraph" w:styleId="8">
    <w:name w:val="footer"/>
    <w:basedOn w:val="1"/>
    <w:link w:val="32"/>
    <w:qFormat/>
    <w:uiPriority w:val="99"/>
    <w:pPr>
      <w:tabs>
        <w:tab w:val="center" w:pos="4153"/>
        <w:tab w:val="right" w:pos="8306"/>
      </w:tabs>
      <w:snapToGrid w:val="0"/>
      <w:jc w:val="left"/>
    </w:pPr>
    <w:rPr>
      <w:sz w:val="18"/>
      <w:szCs w:val="18"/>
    </w:rPr>
  </w:style>
  <w:style w:type="paragraph" w:styleId="9">
    <w:name w:val="header"/>
    <w:basedOn w:val="1"/>
    <w:link w:val="23"/>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qFormat/>
    <w:uiPriority w:val="39"/>
  </w:style>
  <w:style w:type="paragraph" w:styleId="11">
    <w:name w:val="Subtitle"/>
    <w:basedOn w:val="1"/>
    <w:next w:val="1"/>
    <w:link w:val="26"/>
    <w:qFormat/>
    <w:uiPriority w:val="0"/>
    <w:pPr>
      <w:spacing w:before="240" w:after="60" w:line="312" w:lineRule="auto"/>
      <w:jc w:val="center"/>
      <w:outlineLvl w:val="1"/>
    </w:pPr>
    <w:rPr>
      <w:rFonts w:ascii="Cambria" w:hAnsi="Cambria" w:eastAsia="宋体"/>
      <w:b/>
      <w:bCs/>
      <w:kern w:val="28"/>
      <w:szCs w:val="32"/>
    </w:rPr>
  </w:style>
  <w:style w:type="paragraph" w:styleId="12">
    <w:name w:val="toc 2"/>
    <w:basedOn w:val="1"/>
    <w:next w:val="1"/>
    <w:qFormat/>
    <w:uiPriority w:val="39"/>
    <w:pPr>
      <w:ind w:left="420" w:leftChars="200"/>
    </w:pPr>
  </w:style>
  <w:style w:type="paragraph" w:styleId="13">
    <w:name w:val="Title"/>
    <w:basedOn w:val="1"/>
    <w:next w:val="1"/>
    <w:link w:val="28"/>
    <w:qFormat/>
    <w:uiPriority w:val="0"/>
    <w:pPr>
      <w:spacing w:before="240" w:after="60"/>
      <w:jc w:val="center"/>
      <w:outlineLvl w:val="0"/>
    </w:pPr>
    <w:rPr>
      <w:rFonts w:ascii="Cambria" w:hAnsi="Cambria" w:eastAsia="宋体"/>
      <w:b/>
      <w:bCs/>
      <w:szCs w:val="32"/>
    </w:rPr>
  </w:style>
  <w:style w:type="character" w:styleId="16">
    <w:name w:val="Strong"/>
    <w:qFormat/>
    <w:uiPriority w:val="0"/>
    <w:rPr>
      <w:b/>
      <w:bCs/>
    </w:rPr>
  </w:style>
  <w:style w:type="character" w:styleId="17">
    <w:name w:val="page number"/>
    <w:basedOn w:val="15"/>
    <w:qFormat/>
    <w:uiPriority w:val="0"/>
  </w:style>
  <w:style w:type="character" w:styleId="18">
    <w:name w:val="FollowedHyperlink"/>
    <w:qFormat/>
    <w:uiPriority w:val="0"/>
    <w:rPr>
      <w:color w:val="800080"/>
      <w:u w:val="single"/>
    </w:rPr>
  </w:style>
  <w:style w:type="character" w:styleId="19">
    <w:name w:val="Emphasis"/>
    <w:qFormat/>
    <w:uiPriority w:val="0"/>
    <w:rPr>
      <w:i/>
      <w:iCs/>
    </w:rPr>
  </w:style>
  <w:style w:type="character" w:styleId="20">
    <w:name w:val="Hyperlink"/>
    <w:qFormat/>
    <w:uiPriority w:val="99"/>
    <w:rPr>
      <w:rFonts w:hint="default" w:ascii="ˎ̥" w:hAnsi="ˎ̥"/>
      <w:color w:val="0404B3"/>
      <w:sz w:val="18"/>
      <w:szCs w:val="18"/>
      <w:u w:val="none"/>
    </w:rPr>
  </w:style>
  <w:style w:type="paragraph" w:customStyle="1" w:styleId="21">
    <w:name w:val="_Style 20"/>
    <w:basedOn w:val="2"/>
    <w:next w:val="1"/>
    <w:qFormat/>
    <w:uiPriority w:val="39"/>
    <w:pPr>
      <w:widowControl/>
      <w:spacing w:before="480" w:after="0" w:line="276" w:lineRule="auto"/>
      <w:jc w:val="left"/>
      <w:outlineLvl w:val="9"/>
    </w:pPr>
    <w:rPr>
      <w:rFonts w:ascii="Cambria" w:hAnsi="Cambria" w:eastAsia="宋体" w:cs="Times New Roman"/>
      <w:color w:val="365F91"/>
      <w:kern w:val="0"/>
      <w:sz w:val="28"/>
      <w:szCs w:val="28"/>
    </w:rPr>
  </w:style>
  <w:style w:type="paragraph" w:customStyle="1" w:styleId="22">
    <w:name w:val="1.1"/>
    <w:basedOn w:val="4"/>
    <w:link w:val="29"/>
    <w:qFormat/>
    <w:uiPriority w:val="0"/>
    <w:pPr>
      <w:numPr>
        <w:ilvl w:val="1"/>
        <w:numId w:val="1"/>
      </w:numPr>
      <w:ind w:firstLine="0"/>
      <w:jc w:val="left"/>
    </w:pPr>
    <w:rPr>
      <w:rFonts w:ascii="Calibri" w:hAnsi="Calibri" w:eastAsia="宋体"/>
      <w:sz w:val="30"/>
    </w:rPr>
  </w:style>
  <w:style w:type="character" w:customStyle="1" w:styleId="23">
    <w:name w:val="页眉 Char"/>
    <w:link w:val="9"/>
    <w:qFormat/>
    <w:uiPriority w:val="99"/>
    <w:rPr>
      <w:rFonts w:eastAsia="仿宋_GB2312"/>
      <w:kern w:val="2"/>
      <w:sz w:val="18"/>
      <w:szCs w:val="18"/>
    </w:rPr>
  </w:style>
  <w:style w:type="character" w:customStyle="1" w:styleId="24">
    <w:name w:val="纯文本 Char"/>
    <w:link w:val="6"/>
    <w:qFormat/>
    <w:uiPriority w:val="99"/>
    <w:rPr>
      <w:rFonts w:ascii="宋体" w:hAnsi="Courier New" w:cs="Courier New"/>
      <w:kern w:val="2"/>
      <w:sz w:val="21"/>
      <w:szCs w:val="21"/>
    </w:rPr>
  </w:style>
  <w:style w:type="character" w:customStyle="1" w:styleId="25">
    <w:name w:val="纯文本 Char1"/>
    <w:qFormat/>
    <w:uiPriority w:val="0"/>
    <w:rPr>
      <w:rFonts w:ascii="宋体" w:hAnsi="Courier New" w:cs="Courier New"/>
      <w:kern w:val="2"/>
      <w:sz w:val="21"/>
      <w:szCs w:val="21"/>
    </w:rPr>
  </w:style>
  <w:style w:type="character" w:customStyle="1" w:styleId="26">
    <w:name w:val="副标题 Char"/>
    <w:link w:val="11"/>
    <w:qFormat/>
    <w:uiPriority w:val="0"/>
    <w:rPr>
      <w:rFonts w:ascii="Cambria" w:hAnsi="Cambria" w:cs="Times New Roman"/>
      <w:b/>
      <w:bCs/>
      <w:kern w:val="28"/>
      <w:sz w:val="32"/>
      <w:szCs w:val="32"/>
    </w:rPr>
  </w:style>
  <w:style w:type="character" w:customStyle="1" w:styleId="27">
    <w:name w:val="标题 1 Char"/>
    <w:link w:val="2"/>
    <w:qFormat/>
    <w:uiPriority w:val="0"/>
    <w:rPr>
      <w:rFonts w:eastAsia="仿宋_GB2312"/>
      <w:b/>
      <w:bCs/>
      <w:kern w:val="44"/>
      <w:sz w:val="44"/>
      <w:szCs w:val="44"/>
    </w:rPr>
  </w:style>
  <w:style w:type="character" w:customStyle="1" w:styleId="28">
    <w:name w:val="标题 Char"/>
    <w:link w:val="13"/>
    <w:qFormat/>
    <w:uiPriority w:val="0"/>
    <w:rPr>
      <w:rFonts w:ascii="Cambria" w:hAnsi="Cambria" w:cs="Times New Roman"/>
      <w:b/>
      <w:bCs/>
      <w:kern w:val="2"/>
      <w:sz w:val="32"/>
      <w:szCs w:val="32"/>
    </w:rPr>
  </w:style>
  <w:style w:type="character" w:customStyle="1" w:styleId="29">
    <w:name w:val="1.1 Char"/>
    <w:link w:val="22"/>
    <w:qFormat/>
    <w:uiPriority w:val="0"/>
    <w:rPr>
      <w:rFonts w:ascii="Calibri" w:hAnsi="Calibri"/>
      <w:b/>
      <w:bCs/>
      <w:kern w:val="2"/>
      <w:sz w:val="30"/>
      <w:szCs w:val="32"/>
    </w:rPr>
  </w:style>
  <w:style w:type="character" w:customStyle="1" w:styleId="30">
    <w:name w:val="标题 3 Char"/>
    <w:link w:val="4"/>
    <w:semiHidden/>
    <w:qFormat/>
    <w:uiPriority w:val="0"/>
    <w:rPr>
      <w:rFonts w:eastAsia="仿宋_GB2312"/>
      <w:b/>
      <w:bCs/>
      <w:kern w:val="2"/>
      <w:sz w:val="32"/>
      <w:szCs w:val="32"/>
    </w:rPr>
  </w:style>
  <w:style w:type="character" w:customStyle="1" w:styleId="31">
    <w:name w:val="标题 2 Char"/>
    <w:link w:val="3"/>
    <w:qFormat/>
    <w:uiPriority w:val="9"/>
    <w:rPr>
      <w:rFonts w:ascii="Cambria" w:hAnsi="Cambria"/>
      <w:b/>
      <w:bCs/>
      <w:kern w:val="2"/>
      <w:sz w:val="32"/>
      <w:szCs w:val="32"/>
    </w:rPr>
  </w:style>
  <w:style w:type="character" w:customStyle="1" w:styleId="32">
    <w:name w:val="页脚 Char"/>
    <w:link w:val="8"/>
    <w:qFormat/>
    <w:uiPriority w:val="99"/>
    <w:rPr>
      <w:rFonts w:eastAsia="仿宋_GB2312"/>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7</Pages>
  <Words>2159</Words>
  <Characters>12310</Characters>
  <Lines>102</Lines>
  <Paragraphs>28</Paragraphs>
  <TotalTime>35</TotalTime>
  <ScaleCrop>false</ScaleCrop>
  <LinksUpToDate>false</LinksUpToDate>
  <CharactersWithSpaces>14441</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2016-10-19T07:39:00Z</dcterms:created>
  <dc:creator>Lenovo</dc:creator>
  <cp:lastModifiedBy>拱酝爻涣和</cp:lastModifiedBy>
  <cp:lastPrinted>2016-11-15T16:26:00Z</cp:lastPrinted>
  <dcterms:modified xsi:type="dcterms:W3CDTF">2025-06-29T10:00:55Z</dcterms:modified>
  <dc:title>法规修改决定电子报备格式标准及示例</dc:title>
  <cp:revision>59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12EFD4F26E5F4626B18B4759AB786D19_12</vt:lpwstr>
  </property>
</Properties>
</file>