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1660BE">
      <w:pPr>
        <w:spacing w:line="560" w:lineRule="exact"/>
        <w:rPr>
          <w:rFonts w:ascii="宋体" w:hAnsi="宋体" w:eastAsia="宋体" w:cs="宋体"/>
          <w:kern w:val="0"/>
          <w:szCs w:val="32"/>
        </w:rPr>
      </w:pPr>
      <w:bookmarkStart w:id="0" w:name="_GoBack"/>
      <w:bookmarkEnd w:id="0"/>
    </w:p>
    <w:p w14:paraId="48EE2847">
      <w:pPr>
        <w:spacing w:line="560" w:lineRule="exact"/>
        <w:rPr>
          <w:rFonts w:ascii="宋体" w:hAnsi="宋体" w:eastAsia="宋体" w:cs="宋体"/>
          <w:kern w:val="0"/>
          <w:szCs w:val="32"/>
        </w:rPr>
      </w:pPr>
    </w:p>
    <w:p w14:paraId="682E1BCE">
      <w:pPr>
        <w:spacing w:line="560" w:lineRule="exact"/>
        <w:jc w:val="center"/>
        <w:rPr>
          <w:rFonts w:ascii="宋体" w:hAnsi="宋体" w:eastAsia="宋体" w:cs="宋体"/>
          <w:kern w:val="0"/>
          <w:sz w:val="44"/>
          <w:szCs w:val="44"/>
        </w:rPr>
      </w:pPr>
      <w:r>
        <w:rPr>
          <w:rFonts w:hint="eastAsia" w:ascii="宋体" w:hAnsi="宋体" w:eastAsia="宋体" w:cs="宋体"/>
          <w:kern w:val="0"/>
          <w:sz w:val="44"/>
          <w:szCs w:val="44"/>
          <w:lang w:eastAsia="zh-CN"/>
        </w:rPr>
        <w:t>和平民主王国</w:t>
      </w:r>
      <w:r>
        <w:rPr>
          <w:rFonts w:hint="eastAsia" w:ascii="宋体" w:hAnsi="宋体" w:eastAsia="宋体" w:cs="宋体"/>
          <w:kern w:val="0"/>
          <w:sz w:val="44"/>
          <w:szCs w:val="44"/>
        </w:rPr>
        <w:t>继承法</w:t>
      </w:r>
    </w:p>
    <w:p w14:paraId="029C4358">
      <w:pPr>
        <w:spacing w:line="560" w:lineRule="exact"/>
        <w:rPr>
          <w:rFonts w:ascii="宋体" w:hAnsi="宋体" w:eastAsia="宋体" w:cs="宋体"/>
          <w:kern w:val="0"/>
          <w:szCs w:val="32"/>
        </w:rPr>
      </w:pPr>
    </w:p>
    <w:p w14:paraId="62F4374F">
      <w:pPr>
        <w:spacing w:line="560" w:lineRule="exact"/>
        <w:ind w:left="640" w:leftChars="200" w:right="640" w:rightChars="200"/>
        <w:rPr>
          <w:rFonts w:ascii="宋体" w:hAnsi="宋体" w:cs="Arial"/>
          <w:kern w:val="0"/>
          <w:szCs w:val="32"/>
        </w:rPr>
      </w:pPr>
      <w:r>
        <w:rPr>
          <w:rFonts w:hint="eastAsia" w:ascii="楷体_GB2312" w:hAnsi="楷体_GB2312" w:eastAsia="楷体_GB2312" w:cs="楷体_GB2312"/>
          <w:kern w:val="0"/>
          <w:szCs w:val="32"/>
        </w:rPr>
        <w:t>（</w:t>
      </w:r>
      <w:r>
        <w:rPr>
          <w:rFonts w:hint="eastAsia" w:ascii="楷体_GB2312" w:hAnsi="楷体_GB2312" w:eastAsia="楷体_GB2312" w:cs="楷体_GB2312"/>
          <w:kern w:val="0"/>
          <w:szCs w:val="32"/>
          <w:lang w:eastAsia="zh-CN"/>
        </w:rPr>
        <w:t>和平民主王国</w:t>
      </w:r>
      <w:r>
        <w:rPr>
          <w:rFonts w:hint="eastAsia" w:ascii="楷体_GB2312" w:hAnsi="楷体_GB2312" w:eastAsia="楷体_GB2312" w:cs="楷体_GB2312"/>
          <w:kern w:val="0"/>
          <w:szCs w:val="32"/>
        </w:rPr>
        <w:t>建国之日起开始生效）</w:t>
      </w:r>
    </w:p>
    <w:p w14:paraId="6EAB036C">
      <w:pPr>
        <w:spacing w:line="560" w:lineRule="exact"/>
        <w:rPr>
          <w:rFonts w:ascii="宋体" w:hAnsi="宋体" w:eastAsia="宋体" w:cs="宋体"/>
          <w:kern w:val="0"/>
          <w:szCs w:val="32"/>
        </w:rPr>
      </w:pPr>
    </w:p>
    <w:p w14:paraId="22919DC1">
      <w:pPr>
        <w:spacing w:line="560" w:lineRule="exact"/>
        <w:jc w:val="center"/>
        <w:rPr>
          <w:rFonts w:ascii="黑体" w:hAnsi="黑体" w:eastAsia="黑体" w:cs="黑体"/>
          <w:kern w:val="0"/>
          <w:szCs w:val="32"/>
        </w:rPr>
      </w:pPr>
      <w:r>
        <w:rPr>
          <w:rFonts w:hint="eastAsia" w:ascii="黑体" w:hAnsi="黑体" w:eastAsia="黑体" w:cs="黑体"/>
          <w:kern w:val="0"/>
          <w:szCs w:val="32"/>
        </w:rPr>
        <w:t>第一章　总则</w:t>
      </w:r>
    </w:p>
    <w:p w14:paraId="41E87AB4">
      <w:pPr>
        <w:spacing w:line="560" w:lineRule="exact"/>
        <w:rPr>
          <w:rFonts w:ascii="宋体" w:hAnsi="宋体" w:eastAsia="宋体" w:cs="宋体"/>
          <w:kern w:val="0"/>
          <w:szCs w:val="32"/>
        </w:rPr>
      </w:pPr>
    </w:p>
    <w:p w14:paraId="5F4E6EBA"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</w:t>
      </w:r>
      <w:r>
        <w:rPr>
          <w:rFonts w:hint="eastAsia" w:ascii="黑体" w:hAnsi="黑体" w:eastAsia="黑体" w:cs="黑体"/>
          <w:kern w:val="0"/>
          <w:szCs w:val="32"/>
        </w:rPr>
        <w:t>第一条</w:t>
      </w:r>
      <w:r>
        <w:rPr>
          <w:rFonts w:hint="eastAsia" w:ascii="宋体" w:hAnsi="宋体" w:cs="Arial"/>
          <w:kern w:val="0"/>
          <w:szCs w:val="32"/>
        </w:rPr>
        <w:t>　根据《</w:t>
      </w:r>
      <w:r>
        <w:rPr>
          <w:rFonts w:hint="eastAsia" w:ascii="宋体" w:hAnsi="宋体" w:cs="Arial"/>
          <w:kern w:val="0"/>
          <w:szCs w:val="32"/>
          <w:lang w:eastAsia="zh-CN"/>
        </w:rPr>
        <w:t>和平民主王国</w:t>
      </w:r>
      <w:r>
        <w:rPr>
          <w:rFonts w:hint="eastAsia" w:ascii="宋体" w:hAnsi="宋体" w:cs="Arial"/>
          <w:kern w:val="0"/>
          <w:szCs w:val="32"/>
        </w:rPr>
        <w:t>宪法》规定，为保护公民的私有财产的继承权，制定本法。</w:t>
      </w:r>
    </w:p>
    <w:p w14:paraId="627CAFB8"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</w:t>
      </w:r>
      <w:r>
        <w:rPr>
          <w:rFonts w:hint="eastAsia" w:ascii="黑体" w:hAnsi="黑体" w:eastAsia="黑体" w:cs="黑体"/>
          <w:kern w:val="0"/>
          <w:szCs w:val="32"/>
        </w:rPr>
        <w:t>第二条</w:t>
      </w:r>
      <w:r>
        <w:rPr>
          <w:rFonts w:hint="eastAsia" w:ascii="宋体" w:hAnsi="宋体" w:cs="Arial"/>
          <w:kern w:val="0"/>
          <w:szCs w:val="32"/>
        </w:rPr>
        <w:t>　继承从被继承人死亡时开始。</w:t>
      </w:r>
    </w:p>
    <w:p w14:paraId="59158AC7"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</w:t>
      </w:r>
      <w:r>
        <w:rPr>
          <w:rFonts w:hint="eastAsia" w:ascii="黑体" w:hAnsi="黑体" w:eastAsia="黑体" w:cs="黑体"/>
          <w:kern w:val="0"/>
          <w:szCs w:val="32"/>
        </w:rPr>
        <w:t>第三条</w:t>
      </w:r>
      <w:r>
        <w:rPr>
          <w:rFonts w:hint="eastAsia" w:ascii="宋体" w:hAnsi="宋体" w:cs="Arial"/>
          <w:kern w:val="0"/>
          <w:szCs w:val="32"/>
        </w:rPr>
        <w:t>　遗产是公民死亡时遗留的个人合法财产，包括：</w:t>
      </w:r>
    </w:p>
    <w:p w14:paraId="1839BDD4"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（一）公民的收入；</w:t>
      </w:r>
    </w:p>
    <w:p w14:paraId="74421710"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（二）公民的房屋、储蓄和生活用品；</w:t>
      </w:r>
    </w:p>
    <w:p w14:paraId="0B499659"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（三）公民的林木、牲畜和家禽；</w:t>
      </w:r>
    </w:p>
    <w:p w14:paraId="2154F5C0"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（四）公民的文物、图书资料；</w:t>
      </w:r>
    </w:p>
    <w:p w14:paraId="23F1A04C"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（五）法律允许公民所有的生产资料；</w:t>
      </w:r>
    </w:p>
    <w:p w14:paraId="6FC7AAB5"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（六）公民的著作权、专利权中的财产权利；</w:t>
      </w:r>
    </w:p>
    <w:p w14:paraId="08492AA7"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（七）公民的其他合法财产。</w:t>
      </w:r>
    </w:p>
    <w:p w14:paraId="6E339766"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</w:t>
      </w:r>
      <w:r>
        <w:rPr>
          <w:rFonts w:hint="eastAsia" w:ascii="黑体" w:hAnsi="黑体" w:eastAsia="黑体" w:cs="黑体"/>
          <w:kern w:val="0"/>
          <w:szCs w:val="32"/>
        </w:rPr>
        <w:t>第四条</w:t>
      </w:r>
      <w:r>
        <w:rPr>
          <w:rFonts w:hint="eastAsia" w:ascii="宋体" w:hAnsi="宋体" w:cs="Arial"/>
          <w:kern w:val="0"/>
          <w:szCs w:val="32"/>
        </w:rPr>
        <w:t>　个人承包应得的个人收益，依照本法规定继承。个人承包</w:t>
      </w:r>
      <w:r>
        <w:rPr>
          <w:rFonts w:hint="eastAsia" w:ascii="宋体" w:hAnsi="宋体" w:cs="Arial"/>
          <w:kern w:val="0"/>
          <w:szCs w:val="32"/>
          <w:lang w:eastAsia="zh-CN"/>
        </w:rPr>
        <w:t>，</w:t>
      </w:r>
      <w:r>
        <w:rPr>
          <w:rFonts w:hint="eastAsia" w:ascii="宋体" w:hAnsi="宋体" w:cs="Arial"/>
          <w:kern w:val="0"/>
          <w:szCs w:val="32"/>
        </w:rPr>
        <w:t>依照法律允许由继承人继续承包的，按照承包合同办理。</w:t>
      </w:r>
    </w:p>
    <w:p w14:paraId="73F76A87"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</w:t>
      </w:r>
      <w:r>
        <w:rPr>
          <w:rFonts w:hint="eastAsia" w:ascii="黑体" w:hAnsi="黑体" w:eastAsia="黑体" w:cs="黑体"/>
          <w:kern w:val="0"/>
          <w:szCs w:val="32"/>
        </w:rPr>
        <w:t>第五条</w:t>
      </w:r>
      <w:r>
        <w:rPr>
          <w:rFonts w:hint="eastAsia" w:ascii="宋体" w:hAnsi="宋体" w:cs="Arial"/>
          <w:kern w:val="0"/>
          <w:szCs w:val="32"/>
        </w:rPr>
        <w:t>　继承开始后，按照法定继承办理；有遗嘱的，按照遗嘱继承或者遗赠办理；有遗赠扶养协议的，按照协议办理。</w:t>
      </w:r>
    </w:p>
    <w:p w14:paraId="0DB6879D"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</w:t>
      </w:r>
      <w:r>
        <w:rPr>
          <w:rFonts w:hint="eastAsia" w:ascii="黑体" w:hAnsi="黑体" w:eastAsia="黑体" w:cs="黑体"/>
          <w:kern w:val="0"/>
          <w:szCs w:val="32"/>
        </w:rPr>
        <w:t>第六条</w:t>
      </w:r>
      <w:r>
        <w:rPr>
          <w:rFonts w:hint="eastAsia" w:ascii="宋体" w:hAnsi="宋体" w:cs="Arial"/>
          <w:kern w:val="0"/>
          <w:szCs w:val="32"/>
        </w:rPr>
        <w:t>　无行为能力人的继承权、受遗赠权，由他的法定代理人代为行使。</w:t>
      </w:r>
    </w:p>
    <w:p w14:paraId="0D588535"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限制行为能力人的继承权、受遗赠权，由他的法定代理人代为行使，或者征得法定代理人同意后行使。</w:t>
      </w:r>
    </w:p>
    <w:p w14:paraId="61CB1858"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</w:t>
      </w:r>
      <w:r>
        <w:rPr>
          <w:rFonts w:hint="eastAsia" w:ascii="黑体" w:hAnsi="黑体" w:eastAsia="黑体" w:cs="黑体"/>
          <w:kern w:val="0"/>
          <w:szCs w:val="32"/>
        </w:rPr>
        <w:t>第七条</w:t>
      </w:r>
      <w:r>
        <w:rPr>
          <w:rFonts w:hint="eastAsia" w:ascii="宋体" w:hAnsi="宋体" w:cs="Arial"/>
          <w:kern w:val="0"/>
          <w:szCs w:val="32"/>
        </w:rPr>
        <w:t>　继承人有下列行为之一的，丧失继承权：</w:t>
      </w:r>
    </w:p>
    <w:p w14:paraId="68DF045C"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（一）故意杀害被继承人的；</w:t>
      </w:r>
    </w:p>
    <w:p w14:paraId="1C48A3CD"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（二）为争夺遗产而杀害其他继承人的；</w:t>
      </w:r>
    </w:p>
    <w:p w14:paraId="0EF18703"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（三）遗弃被继承人的，或者虐待被继承人情节严重的；</w:t>
      </w:r>
    </w:p>
    <w:p w14:paraId="2809397C"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（四）伪造、篡改或者销毁遗嘱，情节严重的。</w:t>
      </w:r>
    </w:p>
    <w:p w14:paraId="46958442"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</w:t>
      </w:r>
      <w:r>
        <w:rPr>
          <w:rFonts w:hint="eastAsia" w:ascii="黑体" w:hAnsi="黑体" w:eastAsia="黑体" w:cs="黑体"/>
          <w:kern w:val="0"/>
          <w:szCs w:val="32"/>
        </w:rPr>
        <w:t>第八条</w:t>
      </w:r>
      <w:r>
        <w:rPr>
          <w:rFonts w:hint="eastAsia" w:ascii="宋体" w:hAnsi="宋体" w:cs="Arial"/>
          <w:kern w:val="0"/>
          <w:szCs w:val="32"/>
        </w:rPr>
        <w:t>　继承权纠纷提起诉讼的期限为二年，自继承人知道或者应当知道其权利被侵犯之日起计算。但是，自继承开始之日起超过二十年的，不得再提起诉讼。</w:t>
      </w:r>
    </w:p>
    <w:p w14:paraId="2C9D5A88">
      <w:pPr>
        <w:spacing w:line="560" w:lineRule="exact"/>
        <w:rPr>
          <w:rFonts w:ascii="宋体" w:hAnsi="宋体" w:eastAsia="宋体" w:cs="宋体"/>
          <w:kern w:val="0"/>
          <w:szCs w:val="32"/>
        </w:rPr>
      </w:pPr>
    </w:p>
    <w:p w14:paraId="179024A5">
      <w:pPr>
        <w:spacing w:line="560" w:lineRule="exact"/>
        <w:jc w:val="center"/>
        <w:rPr>
          <w:rFonts w:ascii="黑体" w:hAnsi="黑体" w:eastAsia="黑体" w:cs="黑体"/>
          <w:kern w:val="0"/>
          <w:szCs w:val="32"/>
        </w:rPr>
      </w:pPr>
      <w:r>
        <w:rPr>
          <w:rFonts w:hint="eastAsia" w:ascii="黑体" w:hAnsi="黑体" w:eastAsia="黑体" w:cs="黑体"/>
          <w:kern w:val="0"/>
          <w:szCs w:val="32"/>
        </w:rPr>
        <w:t>第二章　法定继承</w:t>
      </w:r>
    </w:p>
    <w:p w14:paraId="056E80A8">
      <w:pPr>
        <w:spacing w:line="560" w:lineRule="exact"/>
        <w:rPr>
          <w:rFonts w:ascii="宋体" w:hAnsi="宋体" w:eastAsia="宋体" w:cs="宋体"/>
          <w:kern w:val="0"/>
          <w:szCs w:val="32"/>
        </w:rPr>
      </w:pPr>
    </w:p>
    <w:p w14:paraId="014DD71A"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</w:t>
      </w:r>
      <w:r>
        <w:rPr>
          <w:rFonts w:hint="eastAsia" w:ascii="黑体" w:hAnsi="黑体" w:eastAsia="黑体" w:cs="黑体"/>
          <w:kern w:val="0"/>
          <w:szCs w:val="32"/>
        </w:rPr>
        <w:t>第九条</w:t>
      </w:r>
      <w:r>
        <w:rPr>
          <w:rFonts w:hint="eastAsia" w:ascii="宋体" w:hAnsi="宋体" w:cs="Arial"/>
          <w:kern w:val="0"/>
          <w:szCs w:val="32"/>
        </w:rPr>
        <w:t>　继承权男女平等。</w:t>
      </w:r>
    </w:p>
    <w:p w14:paraId="0C2DD3FA"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</w:t>
      </w:r>
      <w:r>
        <w:rPr>
          <w:rFonts w:hint="eastAsia" w:ascii="黑体" w:hAnsi="黑体" w:eastAsia="黑体" w:cs="黑体"/>
          <w:kern w:val="0"/>
          <w:szCs w:val="32"/>
        </w:rPr>
        <w:t>第十条</w:t>
      </w:r>
      <w:r>
        <w:rPr>
          <w:rFonts w:hint="eastAsia" w:ascii="宋体" w:hAnsi="宋体" w:cs="Arial"/>
          <w:kern w:val="0"/>
          <w:szCs w:val="32"/>
        </w:rPr>
        <w:t>　遗产按照</w:t>
      </w:r>
      <w:r>
        <w:rPr>
          <w:rFonts w:hint="eastAsia" w:ascii="宋体" w:hAnsi="宋体" w:cs="Arial"/>
          <w:kern w:val="0"/>
          <w:szCs w:val="32"/>
          <w:lang w:val="en-US" w:eastAsia="zh-CN"/>
        </w:rPr>
        <w:t>下面说明</w:t>
      </w:r>
      <w:r>
        <w:rPr>
          <w:rFonts w:hint="eastAsia" w:ascii="宋体" w:hAnsi="宋体" w:cs="Arial"/>
          <w:kern w:val="0"/>
          <w:szCs w:val="32"/>
        </w:rPr>
        <w:t>继承：</w:t>
      </w:r>
    </w:p>
    <w:p w14:paraId="276296F0"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</w:t>
      </w:r>
      <w:r>
        <w:rPr>
          <w:rFonts w:hint="eastAsia" w:ascii="宋体" w:hAnsi="宋体" w:cs="Arial"/>
          <w:kern w:val="0"/>
          <w:szCs w:val="32"/>
          <w:lang w:val="en-US" w:eastAsia="zh-CN"/>
        </w:rPr>
        <w:t>除了婚姻中的</w:t>
      </w:r>
      <w:r>
        <w:rPr>
          <w:rFonts w:hint="eastAsia" w:ascii="宋体" w:hAnsi="宋体" w:cs="Arial"/>
          <w:kern w:val="0"/>
          <w:szCs w:val="32"/>
        </w:rPr>
        <w:t>配偶</w:t>
      </w:r>
      <w:r>
        <w:rPr>
          <w:rFonts w:hint="eastAsia" w:ascii="宋体" w:hAnsi="宋体" w:cs="Arial"/>
          <w:kern w:val="0"/>
          <w:szCs w:val="32"/>
          <w:lang w:val="en-US" w:eastAsia="zh-CN"/>
        </w:rPr>
        <w:t>可以继承婚后共同财产的50%外，其他所有直系亲属，旁系亲属等都没有继承权利</w:t>
      </w:r>
      <w:r>
        <w:rPr>
          <w:rFonts w:hint="eastAsia" w:ascii="宋体" w:hAnsi="宋体" w:cs="Arial"/>
          <w:kern w:val="0"/>
          <w:szCs w:val="32"/>
        </w:rPr>
        <w:t>。</w:t>
      </w:r>
    </w:p>
    <w:p w14:paraId="11365672">
      <w:pPr>
        <w:spacing w:line="560" w:lineRule="exact"/>
        <w:rPr>
          <w:rFonts w:hint="eastAsia"/>
          <w:lang w:val="en-US" w:eastAsia="zh-CN"/>
        </w:rPr>
      </w:pPr>
      <w:r>
        <w:rPr>
          <w:rFonts w:hint="eastAsia" w:ascii="宋体" w:hAnsi="宋体" w:cs="Arial"/>
          <w:kern w:val="0"/>
          <w:szCs w:val="32"/>
        </w:rPr>
        <w:t>　　</w:t>
      </w:r>
      <w:r>
        <w:rPr>
          <w:rFonts w:hint="eastAsia" w:ascii="黑体" w:hAnsi="黑体" w:eastAsia="黑体" w:cs="黑体"/>
          <w:kern w:val="0"/>
          <w:szCs w:val="32"/>
        </w:rPr>
        <w:t>第十</w:t>
      </w:r>
      <w:r>
        <w:rPr>
          <w:rFonts w:hint="eastAsia" w:ascii="黑体" w:hAnsi="黑体" w:eastAsia="黑体" w:cs="黑体"/>
          <w:kern w:val="0"/>
          <w:szCs w:val="32"/>
          <w:lang w:val="en-US" w:eastAsia="zh-CN"/>
        </w:rPr>
        <w:t>一</w:t>
      </w:r>
      <w:r>
        <w:rPr>
          <w:rFonts w:hint="eastAsia" w:ascii="黑体" w:hAnsi="黑体" w:eastAsia="黑体" w:cs="黑体"/>
          <w:kern w:val="0"/>
          <w:szCs w:val="32"/>
        </w:rPr>
        <w:t>条</w:t>
      </w:r>
      <w:r>
        <w:rPr>
          <w:rFonts w:hint="eastAsia" w:ascii="宋体" w:hAnsi="宋体" w:cs="Arial"/>
          <w:kern w:val="0"/>
          <w:szCs w:val="32"/>
        </w:rPr>
        <w:t>　对继承人以外的依靠被继承人扶养的缺乏劳动能力的人，或者继承人以外的对被继承人扶养较多的人，可以分给他们适当的</w:t>
      </w:r>
      <w:r>
        <w:rPr>
          <w:rFonts w:hint="eastAsia" w:ascii="宋体" w:hAnsi="宋体" w:cs="Arial"/>
          <w:kern w:val="0"/>
          <w:szCs w:val="32"/>
          <w:lang w:val="en-US" w:eastAsia="zh-CN"/>
        </w:rPr>
        <w:t>经济援助，经济援助金额只能在法律规定的范围内</w:t>
      </w:r>
      <w:r>
        <w:rPr>
          <w:rFonts w:hint="eastAsia" w:ascii="宋体" w:hAnsi="宋体" w:cs="Arial"/>
          <w:kern w:val="0"/>
          <w:szCs w:val="32"/>
        </w:rPr>
        <w:t>。</w:t>
      </w:r>
      <w:r>
        <w:rPr>
          <w:rFonts w:hint="eastAsia" w:ascii="宋体" w:hAnsi="宋体" w:cs="Arial"/>
          <w:kern w:val="0"/>
          <w:szCs w:val="32"/>
          <w:lang w:val="en-US" w:eastAsia="zh-CN"/>
        </w:rPr>
        <w:t>三年内除</w:t>
      </w:r>
      <w:r>
        <w:rPr>
          <w:rFonts w:hint="eastAsia" w:ascii="宋体" w:hAnsi="宋体" w:cs="Arial"/>
          <w:kern w:val="0"/>
          <w:szCs w:val="32"/>
        </w:rPr>
        <w:t>配偶</w:t>
      </w:r>
      <w:r>
        <w:rPr>
          <w:rFonts w:hint="eastAsia" w:ascii="宋体" w:hAnsi="宋体" w:cs="Arial"/>
          <w:kern w:val="0"/>
          <w:szCs w:val="32"/>
          <w:lang w:val="en-US" w:eastAsia="zh-CN"/>
        </w:rPr>
        <w:t>外的</w:t>
      </w:r>
      <w:r>
        <w:rPr>
          <w:rFonts w:hint="eastAsia"/>
          <w:lang w:val="en-US" w:eastAsia="zh-CN"/>
        </w:rPr>
        <w:t>直系亲属</w:t>
      </w:r>
      <w:r>
        <w:rPr>
          <w:rFonts w:hint="eastAsia" w:ascii="宋体" w:hAnsi="宋体" w:cs="Arial"/>
          <w:kern w:val="0"/>
          <w:szCs w:val="32"/>
          <w:lang w:val="en-US" w:eastAsia="zh-CN"/>
        </w:rPr>
        <w:t>经济援助</w:t>
      </w:r>
      <w:r>
        <w:rPr>
          <w:rFonts w:hint="eastAsia"/>
          <w:lang w:val="en-US" w:eastAsia="zh-CN"/>
        </w:rPr>
        <w:t>20000元以下为合法。</w:t>
      </w:r>
    </w:p>
    <w:p w14:paraId="4A86D6CA"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对</w:t>
      </w:r>
      <w:r>
        <w:rPr>
          <w:rFonts w:hint="eastAsia" w:ascii="宋体" w:hAnsi="宋体" w:cs="Arial"/>
          <w:kern w:val="0"/>
          <w:szCs w:val="32"/>
          <w:lang w:val="en-US" w:eastAsia="zh-CN"/>
        </w:rPr>
        <w:t>丧失</w:t>
      </w:r>
      <w:r>
        <w:rPr>
          <w:rFonts w:hint="eastAsia" w:ascii="宋体" w:hAnsi="宋体" w:cs="Arial"/>
          <w:kern w:val="0"/>
          <w:szCs w:val="32"/>
        </w:rPr>
        <w:t>劳动能力</w:t>
      </w:r>
      <w:r>
        <w:rPr>
          <w:rFonts w:hint="eastAsia" w:ascii="宋体" w:hAnsi="宋体" w:cs="Arial"/>
          <w:kern w:val="0"/>
          <w:szCs w:val="32"/>
          <w:lang w:val="en-US" w:eastAsia="zh-CN"/>
        </w:rPr>
        <w:t>的老年人</w:t>
      </w:r>
      <w:r>
        <w:rPr>
          <w:rFonts w:hint="eastAsia" w:ascii="宋体" w:hAnsi="宋体" w:cs="Arial"/>
          <w:kern w:val="0"/>
          <w:szCs w:val="32"/>
          <w:lang w:eastAsia="zh-CN"/>
        </w:rPr>
        <w:t>、</w:t>
      </w:r>
      <w:r>
        <w:rPr>
          <w:rFonts w:hint="eastAsia" w:ascii="宋体" w:hAnsi="宋体" w:cs="Arial"/>
          <w:kern w:val="0"/>
          <w:szCs w:val="32"/>
          <w:lang w:val="en-US" w:eastAsia="zh-CN"/>
        </w:rPr>
        <w:t>残疾人、重病患者</w:t>
      </w:r>
      <w:r>
        <w:rPr>
          <w:rFonts w:hint="eastAsia" w:ascii="宋体" w:hAnsi="宋体" w:cs="Arial"/>
          <w:kern w:val="0"/>
          <w:szCs w:val="32"/>
        </w:rPr>
        <w:t>又没有</w:t>
      </w:r>
      <w:r>
        <w:rPr>
          <w:rFonts w:hint="eastAsia" w:ascii="宋体" w:hAnsi="宋体" w:cs="Arial"/>
          <w:kern w:val="0"/>
          <w:szCs w:val="32"/>
          <w:lang w:val="en-US" w:eastAsia="zh-CN"/>
        </w:rPr>
        <w:t>其他</w:t>
      </w:r>
      <w:r>
        <w:rPr>
          <w:rFonts w:hint="eastAsia" w:ascii="宋体" w:hAnsi="宋体" w:cs="Arial"/>
          <w:kern w:val="0"/>
          <w:szCs w:val="32"/>
        </w:rPr>
        <w:t>生活来源的</w:t>
      </w:r>
      <w:r>
        <w:rPr>
          <w:rFonts w:hint="eastAsia"/>
          <w:lang w:val="en-US" w:eastAsia="zh-CN"/>
        </w:rPr>
        <w:t>直系亲属</w:t>
      </w:r>
      <w:r>
        <w:rPr>
          <w:rFonts w:hint="eastAsia" w:ascii="宋体" w:hAnsi="宋体" w:cs="Arial"/>
          <w:kern w:val="0"/>
          <w:szCs w:val="32"/>
          <w:lang w:val="en-US" w:eastAsia="zh-CN"/>
        </w:rPr>
        <w:t>可以支援生活费，每年</w:t>
      </w:r>
      <w:r>
        <w:rPr>
          <w:rFonts w:hint="eastAsia"/>
          <w:lang w:val="en-US" w:eastAsia="zh-CN"/>
        </w:rPr>
        <w:t>24000元以下为合法，额外的重病医疗费、护工照料费根据医疗养老中心实际情况可以代付款</w:t>
      </w:r>
      <w:r>
        <w:rPr>
          <w:rFonts w:hint="eastAsia" w:ascii="宋体" w:hAnsi="宋体" w:cs="Arial"/>
          <w:kern w:val="0"/>
          <w:szCs w:val="32"/>
        </w:rPr>
        <w:t>。</w:t>
      </w:r>
    </w:p>
    <w:p w14:paraId="1C62D692">
      <w:pPr>
        <w:spacing w:line="560" w:lineRule="exact"/>
        <w:rPr>
          <w:rFonts w:hint="default" w:ascii="宋体" w:hAnsi="宋体" w:eastAsia="仿宋_GB2312" w:cs="Arial"/>
          <w:kern w:val="0"/>
          <w:szCs w:val="32"/>
          <w:lang w:val="en-US" w:eastAsia="zh-CN"/>
        </w:rPr>
      </w:pPr>
    </w:p>
    <w:p w14:paraId="6F1770B9">
      <w:pPr>
        <w:spacing w:line="560" w:lineRule="exact"/>
        <w:rPr>
          <w:rFonts w:ascii="宋体" w:hAnsi="宋体" w:eastAsia="宋体" w:cs="宋体"/>
          <w:kern w:val="0"/>
          <w:szCs w:val="32"/>
        </w:rPr>
      </w:pPr>
    </w:p>
    <w:p w14:paraId="2BBACAE8">
      <w:pPr>
        <w:spacing w:line="560" w:lineRule="exact"/>
        <w:jc w:val="center"/>
        <w:rPr>
          <w:rFonts w:ascii="黑体" w:hAnsi="黑体" w:eastAsia="黑体" w:cs="黑体"/>
          <w:kern w:val="0"/>
          <w:szCs w:val="32"/>
        </w:rPr>
      </w:pPr>
      <w:r>
        <w:rPr>
          <w:rFonts w:hint="eastAsia" w:ascii="黑体" w:hAnsi="黑体" w:eastAsia="黑体" w:cs="黑体"/>
          <w:kern w:val="0"/>
          <w:szCs w:val="32"/>
        </w:rPr>
        <w:t>第三章</w:t>
      </w:r>
      <w:r>
        <w:rPr>
          <w:rFonts w:hint="eastAsia" w:ascii="黑体" w:hAnsi="黑体" w:eastAsia="黑体" w:cs="黑体"/>
          <w:kern w:val="0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kern w:val="0"/>
          <w:szCs w:val="32"/>
        </w:rPr>
        <w:t>遗赠</w:t>
      </w:r>
    </w:p>
    <w:p w14:paraId="1D19FCCC">
      <w:pPr>
        <w:spacing w:line="560" w:lineRule="exact"/>
        <w:rPr>
          <w:rFonts w:ascii="宋体" w:hAnsi="宋体" w:eastAsia="宋体" w:cs="宋体"/>
          <w:kern w:val="0"/>
          <w:szCs w:val="32"/>
        </w:rPr>
      </w:pPr>
    </w:p>
    <w:p w14:paraId="583A0D1C"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</w:t>
      </w:r>
      <w:r>
        <w:rPr>
          <w:rFonts w:hint="eastAsia" w:ascii="黑体" w:hAnsi="黑体" w:eastAsia="黑体" w:cs="黑体"/>
          <w:kern w:val="0"/>
          <w:szCs w:val="32"/>
        </w:rPr>
        <w:t>第十</w:t>
      </w:r>
      <w:r>
        <w:rPr>
          <w:rFonts w:hint="eastAsia" w:ascii="黑体" w:hAnsi="黑体" w:eastAsia="黑体" w:cs="黑体"/>
          <w:kern w:val="0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kern w:val="0"/>
          <w:szCs w:val="32"/>
        </w:rPr>
        <w:t>条</w:t>
      </w:r>
      <w:r>
        <w:rPr>
          <w:rFonts w:hint="eastAsia" w:ascii="宋体" w:hAnsi="宋体" w:cs="Arial"/>
          <w:kern w:val="0"/>
          <w:szCs w:val="32"/>
        </w:rPr>
        <w:t>　公民可以</w:t>
      </w:r>
      <w:r>
        <w:rPr>
          <w:rFonts w:hint="eastAsia" w:ascii="宋体" w:hAnsi="宋体" w:cs="Arial"/>
          <w:kern w:val="0"/>
          <w:szCs w:val="32"/>
          <w:lang w:val="en-US" w:eastAsia="zh-CN"/>
        </w:rPr>
        <w:t>在年轻时、退休前后</w:t>
      </w:r>
      <w:r>
        <w:rPr>
          <w:rFonts w:hint="eastAsia" w:ascii="宋体" w:hAnsi="宋体" w:cs="Arial"/>
          <w:kern w:val="0"/>
          <w:szCs w:val="32"/>
        </w:rPr>
        <w:t>将个人财产赠给国家</w:t>
      </w:r>
      <w:r>
        <w:rPr>
          <w:rFonts w:hint="eastAsia" w:ascii="宋体" w:hAnsi="宋体" w:cs="Arial"/>
          <w:kern w:val="0"/>
          <w:szCs w:val="32"/>
          <w:lang w:val="en-US" w:eastAsia="zh-CN"/>
        </w:rPr>
        <w:t>财产库获得和平公民特权</w:t>
      </w:r>
      <w:r>
        <w:rPr>
          <w:rFonts w:hint="eastAsia" w:ascii="宋体" w:hAnsi="宋体" w:cs="Arial"/>
          <w:kern w:val="0"/>
          <w:szCs w:val="32"/>
        </w:rPr>
        <w:t>。</w:t>
      </w:r>
      <w:r>
        <w:rPr>
          <w:rFonts w:hint="eastAsia" w:ascii="宋体" w:hAnsi="宋体" w:cs="Arial"/>
          <w:kern w:val="0"/>
          <w:szCs w:val="32"/>
          <w:lang w:val="en-US" w:eastAsia="zh-CN"/>
        </w:rPr>
        <w:t>公民死亡后名下所有财产归属国家。</w:t>
      </w:r>
      <w:r>
        <w:rPr>
          <w:rFonts w:hint="eastAsia" w:ascii="宋体" w:hAnsi="宋体" w:cs="Arial"/>
          <w:kern w:val="0"/>
          <w:szCs w:val="32"/>
        </w:rPr>
        <w:t>　</w:t>
      </w:r>
    </w:p>
    <w:p w14:paraId="77F16648">
      <w:pPr>
        <w:spacing w:line="560" w:lineRule="exact"/>
        <w:rPr>
          <w:rFonts w:ascii="宋体" w:hAnsi="宋体" w:eastAsia="宋体" w:cs="宋体"/>
          <w:kern w:val="0"/>
          <w:szCs w:val="32"/>
        </w:rPr>
      </w:pPr>
    </w:p>
    <w:p w14:paraId="746A2233">
      <w:pPr>
        <w:spacing w:line="560" w:lineRule="exact"/>
        <w:jc w:val="center"/>
        <w:rPr>
          <w:rFonts w:ascii="黑体" w:hAnsi="黑体" w:eastAsia="黑体" w:cs="黑体"/>
          <w:kern w:val="0"/>
          <w:szCs w:val="32"/>
        </w:rPr>
      </w:pPr>
      <w:r>
        <w:rPr>
          <w:rFonts w:hint="eastAsia" w:ascii="黑体" w:hAnsi="黑体" w:eastAsia="黑体" w:cs="黑体"/>
          <w:kern w:val="0"/>
          <w:szCs w:val="32"/>
        </w:rPr>
        <w:t>第四章　遗产的处理</w:t>
      </w:r>
    </w:p>
    <w:p w14:paraId="11771AA8">
      <w:pPr>
        <w:spacing w:line="560" w:lineRule="exact"/>
        <w:rPr>
          <w:rFonts w:ascii="宋体" w:hAnsi="宋体" w:cs="Arial"/>
          <w:kern w:val="0"/>
          <w:szCs w:val="32"/>
        </w:rPr>
      </w:pPr>
    </w:p>
    <w:p w14:paraId="11C2204E"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</w:t>
      </w:r>
      <w:r>
        <w:rPr>
          <w:rFonts w:hint="eastAsia" w:ascii="黑体" w:hAnsi="黑体" w:eastAsia="黑体" w:cs="黑体"/>
          <w:kern w:val="0"/>
          <w:szCs w:val="32"/>
        </w:rPr>
        <w:t>第十</w:t>
      </w:r>
      <w:r>
        <w:rPr>
          <w:rFonts w:hint="eastAsia" w:ascii="黑体" w:hAnsi="黑体" w:eastAsia="黑体" w:cs="黑体"/>
          <w:kern w:val="0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kern w:val="0"/>
          <w:szCs w:val="32"/>
        </w:rPr>
        <w:t>条</w:t>
      </w:r>
      <w:r>
        <w:rPr>
          <w:rFonts w:hint="eastAsia" w:ascii="宋体" w:hAnsi="宋体" w:cs="Arial"/>
          <w:kern w:val="0"/>
          <w:szCs w:val="32"/>
        </w:rPr>
        <w:t>　夫妻在婚姻关系存续期间所得的共同所有的财产，除有约定的以外，如果分割遗产，应当先将共同所有的财产的一半分出为配偶所有。</w:t>
      </w:r>
    </w:p>
    <w:p w14:paraId="6453D03C"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遗产在家庭共有财产之中的，遗产分割时，应当先分出他人的财产。</w:t>
      </w:r>
    </w:p>
    <w:p w14:paraId="6176F72F"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</w:t>
      </w:r>
    </w:p>
    <w:p w14:paraId="52E3ACB3"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</w:t>
      </w:r>
    </w:p>
    <w:p w14:paraId="391C3091"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</w:t>
      </w:r>
      <w:r>
        <w:rPr>
          <w:rFonts w:hint="eastAsia" w:ascii="黑体" w:hAnsi="黑体" w:eastAsia="黑体" w:cs="黑体"/>
          <w:kern w:val="0"/>
          <w:szCs w:val="32"/>
        </w:rPr>
        <w:t>第十</w:t>
      </w:r>
      <w:r>
        <w:rPr>
          <w:rFonts w:hint="eastAsia" w:ascii="黑体" w:hAnsi="黑体" w:eastAsia="黑体" w:cs="黑体"/>
          <w:kern w:val="0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kern w:val="0"/>
          <w:szCs w:val="32"/>
        </w:rPr>
        <w:t>条</w:t>
      </w:r>
      <w:r>
        <w:rPr>
          <w:rFonts w:hint="eastAsia" w:ascii="宋体" w:hAnsi="宋体" w:cs="Arial"/>
          <w:kern w:val="0"/>
          <w:szCs w:val="32"/>
        </w:rPr>
        <w:t>　遗产分割应当有利于生产和生活需要，不损害遗产的效用。</w:t>
      </w:r>
    </w:p>
    <w:p w14:paraId="6A8441BD"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不宜分割的遗产，可以采取折价、适当补偿或者共有等方法处理。</w:t>
      </w:r>
    </w:p>
    <w:p w14:paraId="6375113C"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</w:t>
      </w:r>
      <w:r>
        <w:rPr>
          <w:rFonts w:hint="eastAsia" w:ascii="黑体" w:hAnsi="黑体" w:eastAsia="黑体" w:cs="黑体"/>
          <w:kern w:val="0"/>
          <w:szCs w:val="32"/>
        </w:rPr>
        <w:t>第十</w:t>
      </w:r>
      <w:r>
        <w:rPr>
          <w:rFonts w:hint="eastAsia" w:ascii="黑体" w:hAnsi="黑体" w:eastAsia="黑体" w:cs="黑体"/>
          <w:kern w:val="0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kern w:val="0"/>
          <w:szCs w:val="32"/>
        </w:rPr>
        <w:t>条</w:t>
      </w:r>
      <w:r>
        <w:rPr>
          <w:rFonts w:hint="eastAsia" w:ascii="宋体" w:hAnsi="宋体" w:cs="Arial"/>
          <w:kern w:val="0"/>
          <w:szCs w:val="32"/>
        </w:rPr>
        <w:t>　夫妻一方死亡后另一方再婚的，有权处分所继承的</w:t>
      </w:r>
      <w:r>
        <w:rPr>
          <w:rFonts w:hint="eastAsia" w:ascii="宋体" w:hAnsi="宋体" w:cs="Arial"/>
          <w:kern w:val="0"/>
          <w:szCs w:val="32"/>
          <w:lang w:val="en-US" w:eastAsia="zh-CN"/>
        </w:rPr>
        <w:t>一半共同</w:t>
      </w:r>
      <w:r>
        <w:rPr>
          <w:rFonts w:hint="eastAsia" w:ascii="宋体" w:hAnsi="宋体" w:cs="Arial"/>
          <w:kern w:val="0"/>
          <w:szCs w:val="32"/>
        </w:rPr>
        <w:t>财产，任何人不得干涉。</w:t>
      </w:r>
    </w:p>
    <w:p w14:paraId="495D6ADF"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</w:t>
      </w:r>
      <w:r>
        <w:rPr>
          <w:rFonts w:hint="eastAsia" w:ascii="黑体" w:hAnsi="黑体" w:eastAsia="黑体" w:cs="黑体"/>
          <w:kern w:val="0"/>
          <w:szCs w:val="32"/>
        </w:rPr>
        <w:t>第十</w:t>
      </w:r>
      <w:r>
        <w:rPr>
          <w:rFonts w:hint="eastAsia" w:ascii="黑体" w:hAnsi="黑体" w:eastAsia="黑体" w:cs="黑体"/>
          <w:kern w:val="0"/>
          <w:szCs w:val="32"/>
          <w:lang w:val="en-US" w:eastAsia="zh-CN"/>
        </w:rPr>
        <w:t>六</w:t>
      </w:r>
      <w:r>
        <w:rPr>
          <w:rFonts w:hint="eastAsia" w:ascii="黑体" w:hAnsi="黑体" w:eastAsia="黑体" w:cs="黑体"/>
          <w:kern w:val="0"/>
          <w:szCs w:val="32"/>
        </w:rPr>
        <w:t>条</w:t>
      </w:r>
      <w:r>
        <w:rPr>
          <w:rFonts w:hint="eastAsia" w:ascii="宋体" w:hAnsi="宋体" w:cs="Arial"/>
          <w:kern w:val="0"/>
          <w:szCs w:val="32"/>
        </w:rPr>
        <w:t>　无人继承的遗产，归国家所有。</w:t>
      </w:r>
    </w:p>
    <w:p w14:paraId="29DD733D"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</w:t>
      </w:r>
      <w:r>
        <w:rPr>
          <w:rFonts w:hint="eastAsia" w:ascii="黑体" w:hAnsi="黑体" w:eastAsia="黑体" w:cs="黑体"/>
          <w:kern w:val="0"/>
          <w:szCs w:val="32"/>
        </w:rPr>
        <w:t>第十</w:t>
      </w:r>
      <w:r>
        <w:rPr>
          <w:rFonts w:hint="eastAsia" w:ascii="黑体" w:hAnsi="黑体" w:eastAsia="黑体" w:cs="黑体"/>
          <w:kern w:val="0"/>
          <w:szCs w:val="32"/>
          <w:lang w:val="en-US" w:eastAsia="zh-CN"/>
        </w:rPr>
        <w:t>七</w:t>
      </w:r>
      <w:r>
        <w:rPr>
          <w:rFonts w:hint="eastAsia" w:ascii="黑体" w:hAnsi="黑体" w:eastAsia="黑体" w:cs="黑体"/>
          <w:kern w:val="0"/>
          <w:szCs w:val="32"/>
        </w:rPr>
        <w:t>条</w:t>
      </w:r>
      <w:r>
        <w:rPr>
          <w:rFonts w:hint="eastAsia" w:ascii="宋体" w:hAnsi="宋体" w:cs="Arial"/>
          <w:kern w:val="0"/>
          <w:szCs w:val="32"/>
        </w:rPr>
        <w:t>　继承遗产应当清偿被继承人依法应当缴纳的税款和债务，缴纳税款和清偿债务以他的遗产实际价值为限。超过遗产实际价值部分，继承人自愿偿还的不在此限。</w:t>
      </w:r>
    </w:p>
    <w:p w14:paraId="0D1D029A"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继承人放弃继承的，对被继承人依法应当缴纳的税款和债务可以不负偿还责任。</w:t>
      </w:r>
    </w:p>
    <w:p w14:paraId="55CDD3A0"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</w:t>
      </w:r>
      <w:r>
        <w:rPr>
          <w:rFonts w:hint="eastAsia" w:ascii="黑体" w:hAnsi="黑体" w:eastAsia="黑体" w:cs="黑体"/>
          <w:kern w:val="0"/>
          <w:szCs w:val="32"/>
        </w:rPr>
        <w:t>第十</w:t>
      </w:r>
      <w:r>
        <w:rPr>
          <w:rFonts w:hint="eastAsia" w:ascii="黑体" w:hAnsi="黑体" w:eastAsia="黑体" w:cs="黑体"/>
          <w:kern w:val="0"/>
          <w:szCs w:val="32"/>
          <w:lang w:val="en-US" w:eastAsia="zh-CN"/>
        </w:rPr>
        <w:t>八</w:t>
      </w:r>
      <w:r>
        <w:rPr>
          <w:rFonts w:hint="eastAsia" w:ascii="黑体" w:hAnsi="黑体" w:eastAsia="黑体" w:cs="黑体"/>
          <w:kern w:val="0"/>
          <w:szCs w:val="32"/>
        </w:rPr>
        <w:t>条</w:t>
      </w:r>
      <w:r>
        <w:rPr>
          <w:rFonts w:hint="eastAsia" w:ascii="宋体" w:hAnsi="宋体" w:cs="Arial"/>
          <w:kern w:val="0"/>
          <w:szCs w:val="32"/>
        </w:rPr>
        <w:t>　执行遗赠不得妨碍清偿遗赠人依法应当缴纳的税款和债务。</w:t>
      </w:r>
    </w:p>
    <w:p w14:paraId="67A6FA3A">
      <w:pPr>
        <w:spacing w:line="560" w:lineRule="exact"/>
        <w:rPr>
          <w:rFonts w:ascii="宋体" w:hAnsi="宋体" w:eastAsia="宋体" w:cs="宋体"/>
          <w:kern w:val="0"/>
          <w:szCs w:val="32"/>
        </w:rPr>
      </w:pPr>
    </w:p>
    <w:p w14:paraId="09274A2E">
      <w:pPr>
        <w:spacing w:line="560" w:lineRule="exact"/>
        <w:jc w:val="center"/>
        <w:rPr>
          <w:rFonts w:ascii="黑体" w:hAnsi="黑体" w:eastAsia="黑体" w:cs="黑体"/>
          <w:kern w:val="0"/>
          <w:szCs w:val="32"/>
        </w:rPr>
      </w:pPr>
      <w:r>
        <w:rPr>
          <w:rFonts w:hint="eastAsia" w:ascii="黑体" w:hAnsi="黑体" w:eastAsia="黑体" w:cs="黑体"/>
          <w:kern w:val="0"/>
          <w:szCs w:val="32"/>
        </w:rPr>
        <w:t>第五章　附则</w:t>
      </w:r>
    </w:p>
    <w:p w14:paraId="6B8290AB">
      <w:pPr>
        <w:spacing w:line="560" w:lineRule="exact"/>
        <w:rPr>
          <w:rFonts w:ascii="宋体" w:hAnsi="宋体" w:cs="Arial"/>
          <w:kern w:val="0"/>
          <w:szCs w:val="32"/>
        </w:rPr>
      </w:pPr>
    </w:p>
    <w:p w14:paraId="1D376147"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</w:t>
      </w:r>
      <w:r>
        <w:rPr>
          <w:rFonts w:hint="eastAsia" w:ascii="黑体" w:hAnsi="黑体" w:eastAsia="黑体" w:cs="黑体"/>
          <w:kern w:val="0"/>
          <w:szCs w:val="32"/>
        </w:rPr>
        <w:t>第十</w:t>
      </w:r>
      <w:r>
        <w:rPr>
          <w:rFonts w:hint="eastAsia" w:ascii="黑体" w:hAnsi="黑体" w:eastAsia="黑体" w:cs="黑体"/>
          <w:kern w:val="0"/>
          <w:szCs w:val="32"/>
          <w:lang w:val="en-US" w:eastAsia="zh-CN"/>
        </w:rPr>
        <w:t>九</w:t>
      </w:r>
      <w:r>
        <w:rPr>
          <w:rFonts w:hint="eastAsia" w:ascii="黑体" w:hAnsi="黑体" w:eastAsia="黑体" w:cs="黑体"/>
          <w:kern w:val="0"/>
          <w:szCs w:val="32"/>
        </w:rPr>
        <w:t>条</w:t>
      </w:r>
      <w:r>
        <w:rPr>
          <w:rFonts w:hint="eastAsia" w:ascii="宋体" w:hAnsi="宋体" w:cs="Arial"/>
          <w:kern w:val="0"/>
          <w:szCs w:val="32"/>
        </w:rPr>
        <w:t>　中国公民继承在</w:t>
      </w:r>
      <w:r>
        <w:rPr>
          <w:rFonts w:hint="eastAsia" w:ascii="宋体" w:hAnsi="宋体" w:cs="Arial"/>
          <w:kern w:val="0"/>
          <w:szCs w:val="32"/>
          <w:lang w:eastAsia="zh-CN"/>
        </w:rPr>
        <w:t>和平民主王国</w:t>
      </w:r>
      <w:r>
        <w:rPr>
          <w:rFonts w:hint="eastAsia" w:ascii="宋体" w:hAnsi="宋体" w:cs="Arial"/>
          <w:kern w:val="0"/>
          <w:szCs w:val="32"/>
        </w:rPr>
        <w:t>境外的遗产或者继承在</w:t>
      </w:r>
      <w:r>
        <w:rPr>
          <w:rFonts w:hint="eastAsia" w:ascii="宋体" w:hAnsi="宋体" w:cs="Arial"/>
          <w:kern w:val="0"/>
          <w:szCs w:val="32"/>
          <w:lang w:eastAsia="zh-CN"/>
        </w:rPr>
        <w:t>和平民主王国</w:t>
      </w:r>
      <w:r>
        <w:rPr>
          <w:rFonts w:hint="eastAsia" w:ascii="宋体" w:hAnsi="宋体" w:cs="Arial"/>
          <w:kern w:val="0"/>
          <w:szCs w:val="32"/>
        </w:rPr>
        <w:t>境内的外国人的遗产，动产适用被继承人住所地法律，不动产适用不动产所在地法律。</w:t>
      </w:r>
    </w:p>
    <w:p w14:paraId="7A3A5650"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外国人继承在</w:t>
      </w:r>
      <w:r>
        <w:rPr>
          <w:rFonts w:hint="eastAsia" w:ascii="宋体" w:hAnsi="宋体" w:cs="Arial"/>
          <w:kern w:val="0"/>
          <w:szCs w:val="32"/>
          <w:lang w:eastAsia="zh-CN"/>
        </w:rPr>
        <w:t>和平民主王国</w:t>
      </w:r>
      <w:r>
        <w:rPr>
          <w:rFonts w:hint="eastAsia" w:ascii="宋体" w:hAnsi="宋体" w:cs="Arial"/>
          <w:kern w:val="0"/>
          <w:szCs w:val="32"/>
        </w:rPr>
        <w:t>境内的遗产或者继承</w:t>
      </w:r>
      <w:r>
        <w:rPr>
          <w:rFonts w:hint="eastAsia" w:ascii="宋体" w:hAnsi="宋体" w:cs="Arial"/>
          <w:kern w:val="0"/>
          <w:szCs w:val="32"/>
          <w:lang w:eastAsia="zh-CN"/>
        </w:rPr>
        <w:t>和平民主王国</w:t>
      </w:r>
      <w:r>
        <w:rPr>
          <w:rFonts w:hint="eastAsia" w:ascii="宋体" w:hAnsi="宋体" w:cs="Arial"/>
          <w:kern w:val="0"/>
          <w:szCs w:val="32"/>
        </w:rPr>
        <w:t>境外的中国公民的遗产，动产适用被继承人住所地法律，不动产适用不动产所在地法律。</w:t>
      </w:r>
    </w:p>
    <w:p w14:paraId="6247D68C"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</w:t>
      </w:r>
      <w:r>
        <w:rPr>
          <w:rFonts w:hint="eastAsia" w:ascii="宋体" w:hAnsi="宋体" w:cs="Arial"/>
          <w:kern w:val="0"/>
          <w:szCs w:val="32"/>
          <w:lang w:eastAsia="zh-CN"/>
        </w:rPr>
        <w:t>和平民主王国</w:t>
      </w:r>
      <w:r>
        <w:rPr>
          <w:rFonts w:hint="eastAsia" w:ascii="宋体" w:hAnsi="宋体" w:cs="Arial"/>
          <w:kern w:val="0"/>
          <w:szCs w:val="32"/>
        </w:rPr>
        <w:t>与外国订有条约、协定的，按照条约、协定办理。</w:t>
      </w:r>
    </w:p>
    <w:p w14:paraId="36F44C77">
      <w:pPr>
        <w:spacing w:line="560" w:lineRule="exact"/>
        <w:rPr>
          <w:rFonts w:ascii="宋体" w:hAnsi="宋体" w:cs="Arial"/>
          <w:kern w:val="0"/>
          <w:szCs w:val="32"/>
        </w:rPr>
      </w:pPr>
      <w:r>
        <w:rPr>
          <w:rFonts w:hint="eastAsia" w:ascii="宋体" w:hAnsi="宋体" w:cs="Arial"/>
          <w:kern w:val="0"/>
          <w:szCs w:val="32"/>
        </w:rPr>
        <w:t>　　</w:t>
      </w:r>
      <w:r>
        <w:rPr>
          <w:rFonts w:hint="eastAsia" w:ascii="黑体" w:hAnsi="黑体" w:eastAsia="黑体" w:cs="黑体"/>
          <w:kern w:val="0"/>
          <w:szCs w:val="32"/>
        </w:rPr>
        <w:t>第</w:t>
      </w:r>
      <w:r>
        <w:rPr>
          <w:rFonts w:hint="eastAsia" w:ascii="黑体" w:hAnsi="黑体" w:eastAsia="黑体" w:cs="黑体"/>
          <w:kern w:val="0"/>
          <w:szCs w:val="32"/>
          <w:lang w:val="en-US" w:eastAsia="zh-CN"/>
        </w:rPr>
        <w:t>二十</w:t>
      </w:r>
      <w:r>
        <w:rPr>
          <w:rFonts w:hint="eastAsia" w:ascii="黑体" w:hAnsi="黑体" w:eastAsia="黑体" w:cs="黑体"/>
          <w:kern w:val="0"/>
          <w:szCs w:val="32"/>
        </w:rPr>
        <w:t>条</w:t>
      </w:r>
      <w:r>
        <w:rPr>
          <w:rFonts w:hint="eastAsia" w:ascii="宋体" w:hAnsi="宋体" w:cs="Arial"/>
          <w:kern w:val="0"/>
          <w:szCs w:val="32"/>
        </w:rPr>
        <w:t>　本法自</w:t>
      </w:r>
      <w:r>
        <w:rPr>
          <w:rFonts w:hint="eastAsia" w:ascii="宋体" w:hAnsi="宋体" w:cs="Arial"/>
          <w:kern w:val="0"/>
          <w:szCs w:val="32"/>
          <w:lang w:eastAsia="zh-CN"/>
        </w:rPr>
        <w:t>和平民主王国</w:t>
      </w:r>
      <w:r>
        <w:rPr>
          <w:rFonts w:hint="eastAsia" w:ascii="宋体" w:hAnsi="宋体" w:cs="Arial"/>
          <w:kern w:val="0"/>
          <w:szCs w:val="32"/>
          <w:lang w:val="en-US" w:eastAsia="zh-CN"/>
        </w:rPr>
        <w:t>成立日</w:t>
      </w:r>
      <w:r>
        <w:rPr>
          <w:rFonts w:hint="eastAsia" w:ascii="宋体" w:hAnsi="宋体" w:cs="Arial"/>
          <w:kern w:val="0"/>
          <w:szCs w:val="32"/>
        </w:rPr>
        <w:t>起施行。</w:t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850" w:h="16783"/>
      <w:pgMar w:top="2098" w:right="1417" w:bottom="1928" w:left="1587" w:header="851" w:footer="1253" w:gutter="0"/>
      <w:pgNumType w:start="1"/>
      <w:cols w:space="0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F29A46">
    <w:pPr>
      <w:pStyle w:val="8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4778375</wp:posOffset>
              </wp:positionH>
              <wp:positionV relativeFrom="paragraph">
                <wp:posOffset>0</wp:posOffset>
              </wp:positionV>
              <wp:extent cx="80264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0264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588BF14">
                          <w:pPr>
                            <w:pStyle w:val="8"/>
                            <w:wordWrap w:val="0"/>
                            <w:jc w:val="right"/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  <w:t>7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—　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76.25pt;margin-top:0pt;height:144pt;width:63.2pt;mso-position-horizontal-relative:margin;z-index:251659264;mso-width-relative:page;mso-height-relative:page;" filled="f" stroked="f" coordsize="21600,21600" o:gfxdata="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CNDpyl1gAAAAgBAAAPAAAAAAAAAAEAIAAAACIAAABkcnMvZG93bnJldi54bWxQSwEC&#10;FAAUAAAACACHTuJA6bjMpi8CAABWBAAADgAAAAAAAAABACAAAAAlAQAAZHJzL2Uyb0RvYy54bWxQ&#10;SwUGAAAAAAYABgBZAQAAx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588BF14">
                    <w:pPr>
                      <w:pStyle w:val="8"/>
                      <w:wordWrap w:val="0"/>
                      <w:jc w:val="right"/>
                      <w:rPr>
                        <w:rFonts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eastAsia="宋体" w:cs="宋体"/>
                        <w:sz w:val="28"/>
                        <w:szCs w:val="28"/>
                      </w:rPr>
                      <w:t>7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—　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26E3DE">
    <w:pPr>
      <w:pStyle w:val="8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62D070D">
                          <w:pPr>
                            <w:pStyle w:val="8"/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　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  <w:t>8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62D070D">
                    <w:pPr>
                      <w:pStyle w:val="8"/>
                      <w:rPr>
                        <w:rFonts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　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eastAsia="宋体" w:cs="宋体"/>
                        <w:sz w:val="28"/>
                        <w:szCs w:val="28"/>
                      </w:rPr>
                      <w:t>8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CDC882">
    <w:pPr>
      <w:pStyle w:val="9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84F1CC">
    <w:pPr>
      <w:pStyle w:val="9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9D25414"/>
    <w:multiLevelType w:val="multilevel"/>
    <w:tmpl w:val="49D25414"/>
    <w:lvl w:ilvl="0" w:tentative="0">
      <w:start w:val="1"/>
      <w:numFmt w:val="decimal"/>
      <w:lvlText w:val="%1"/>
      <w:lvlJc w:val="left"/>
      <w:pPr>
        <w:ind w:left="425" w:hanging="425"/>
      </w:pPr>
    </w:lvl>
    <w:lvl w:ilvl="1" w:tentative="0">
      <w:start w:val="1"/>
      <w:numFmt w:val="decimal"/>
      <w:pStyle w:val="22"/>
      <w:lvlText w:val="%1.%2"/>
      <w:lvlJc w:val="left"/>
      <w:pPr>
        <w:ind w:left="992" w:hanging="567"/>
      </w:pPr>
    </w:lvl>
    <w:lvl w:ilvl="2" w:tentative="0">
      <w:start w:val="1"/>
      <w:numFmt w:val="decimal"/>
      <w:lvlText w:val="%1.%2.%3"/>
      <w:lvlJc w:val="left"/>
      <w:pPr>
        <w:ind w:left="1418" w:hanging="567"/>
      </w:pPr>
    </w:lvl>
    <w:lvl w:ilvl="3" w:tentative="0">
      <w:start w:val="1"/>
      <w:numFmt w:val="decimal"/>
      <w:lvlText w:val="%1.%2.%3.%4"/>
      <w:lvlJc w:val="left"/>
      <w:pPr>
        <w:ind w:left="1984" w:hanging="708"/>
      </w:pPr>
    </w:lvl>
    <w:lvl w:ilvl="4" w:tentative="0">
      <w:start w:val="1"/>
      <w:numFmt w:val="decimal"/>
      <w:lvlText w:val="%1.%2.%3.%4.%5"/>
      <w:lvlJc w:val="left"/>
      <w:pPr>
        <w:ind w:left="2551" w:hanging="850"/>
      </w:pPr>
    </w:lvl>
    <w:lvl w:ilvl="5" w:tentative="0">
      <w:start w:val="1"/>
      <w:numFmt w:val="decimal"/>
      <w:lvlText w:val="%1.%2.%3.%4.%5.%6"/>
      <w:lvlJc w:val="left"/>
      <w:pPr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FF2"/>
    <w:rsid w:val="000408C7"/>
    <w:rsid w:val="00047741"/>
    <w:rsid w:val="0005018B"/>
    <w:rsid w:val="00062E6C"/>
    <w:rsid w:val="000778B0"/>
    <w:rsid w:val="000803E8"/>
    <w:rsid w:val="000E7366"/>
    <w:rsid w:val="001033D0"/>
    <w:rsid w:val="00125D8F"/>
    <w:rsid w:val="00130DFD"/>
    <w:rsid w:val="00152F70"/>
    <w:rsid w:val="0017628A"/>
    <w:rsid w:val="001A2752"/>
    <w:rsid w:val="001A3C91"/>
    <w:rsid w:val="001A5F92"/>
    <w:rsid w:val="001D6F2E"/>
    <w:rsid w:val="001E2657"/>
    <w:rsid w:val="002070BD"/>
    <w:rsid w:val="0021593C"/>
    <w:rsid w:val="00233C4A"/>
    <w:rsid w:val="002407D9"/>
    <w:rsid w:val="00277DE5"/>
    <w:rsid w:val="00297298"/>
    <w:rsid w:val="002979E0"/>
    <w:rsid w:val="002A3EF0"/>
    <w:rsid w:val="002E0C24"/>
    <w:rsid w:val="002F7DF8"/>
    <w:rsid w:val="00304A84"/>
    <w:rsid w:val="00320296"/>
    <w:rsid w:val="00341FBF"/>
    <w:rsid w:val="00361106"/>
    <w:rsid w:val="003870B2"/>
    <w:rsid w:val="00405342"/>
    <w:rsid w:val="0041162C"/>
    <w:rsid w:val="004B29FD"/>
    <w:rsid w:val="004B5AED"/>
    <w:rsid w:val="004E0129"/>
    <w:rsid w:val="004E3F7A"/>
    <w:rsid w:val="004F3FA8"/>
    <w:rsid w:val="004F682B"/>
    <w:rsid w:val="005521DE"/>
    <w:rsid w:val="005866F9"/>
    <w:rsid w:val="00597FF0"/>
    <w:rsid w:val="005B4D16"/>
    <w:rsid w:val="005C6A1B"/>
    <w:rsid w:val="005E5EEF"/>
    <w:rsid w:val="006125B7"/>
    <w:rsid w:val="0061561D"/>
    <w:rsid w:val="006208B2"/>
    <w:rsid w:val="00661B2B"/>
    <w:rsid w:val="006858D8"/>
    <w:rsid w:val="006B016C"/>
    <w:rsid w:val="006B487D"/>
    <w:rsid w:val="006B7880"/>
    <w:rsid w:val="0079691A"/>
    <w:rsid w:val="00831E9A"/>
    <w:rsid w:val="008639E1"/>
    <w:rsid w:val="008A5502"/>
    <w:rsid w:val="008D5D88"/>
    <w:rsid w:val="008F69CD"/>
    <w:rsid w:val="00900D1F"/>
    <w:rsid w:val="00902FF2"/>
    <w:rsid w:val="009857B2"/>
    <w:rsid w:val="00996A63"/>
    <w:rsid w:val="009D7B72"/>
    <w:rsid w:val="009E29FD"/>
    <w:rsid w:val="009E6421"/>
    <w:rsid w:val="009E6A54"/>
    <w:rsid w:val="00A122B2"/>
    <w:rsid w:val="00A227B8"/>
    <w:rsid w:val="00A265F6"/>
    <w:rsid w:val="00A30678"/>
    <w:rsid w:val="00A54E5C"/>
    <w:rsid w:val="00AC1677"/>
    <w:rsid w:val="00AF3EA3"/>
    <w:rsid w:val="00B116B4"/>
    <w:rsid w:val="00B13311"/>
    <w:rsid w:val="00B146D8"/>
    <w:rsid w:val="00B30D5E"/>
    <w:rsid w:val="00B5205C"/>
    <w:rsid w:val="00B86404"/>
    <w:rsid w:val="00B95A4E"/>
    <w:rsid w:val="00B9697E"/>
    <w:rsid w:val="00BD4FD8"/>
    <w:rsid w:val="00BD5ABA"/>
    <w:rsid w:val="00C066A8"/>
    <w:rsid w:val="00CE5247"/>
    <w:rsid w:val="00D54AF3"/>
    <w:rsid w:val="00D54B93"/>
    <w:rsid w:val="00D70A89"/>
    <w:rsid w:val="00D76CB4"/>
    <w:rsid w:val="00D84514"/>
    <w:rsid w:val="00DC5C43"/>
    <w:rsid w:val="00DD0B8B"/>
    <w:rsid w:val="00E235DD"/>
    <w:rsid w:val="00E64956"/>
    <w:rsid w:val="00EE4F6D"/>
    <w:rsid w:val="00F00D39"/>
    <w:rsid w:val="00FA3C68"/>
    <w:rsid w:val="00FC68C1"/>
    <w:rsid w:val="010E627E"/>
    <w:rsid w:val="08210A6D"/>
    <w:rsid w:val="0B957AC8"/>
    <w:rsid w:val="0C4E6F56"/>
    <w:rsid w:val="0D2F2A95"/>
    <w:rsid w:val="14EF0277"/>
    <w:rsid w:val="19F86B68"/>
    <w:rsid w:val="205337E7"/>
    <w:rsid w:val="2F7753E6"/>
    <w:rsid w:val="3258761C"/>
    <w:rsid w:val="37E70494"/>
    <w:rsid w:val="3C3118F1"/>
    <w:rsid w:val="41302292"/>
    <w:rsid w:val="44BC0EEC"/>
    <w:rsid w:val="46C12FEE"/>
    <w:rsid w:val="482A39F4"/>
    <w:rsid w:val="56755F92"/>
    <w:rsid w:val="5B7C5090"/>
    <w:rsid w:val="5F817CBC"/>
    <w:rsid w:val="63904E0D"/>
    <w:rsid w:val="653A70E2"/>
    <w:rsid w:val="6639343E"/>
    <w:rsid w:val="6A7F7B08"/>
    <w:rsid w:val="6C1E17DE"/>
    <w:rsid w:val="708206C6"/>
    <w:rsid w:val="72406E3D"/>
    <w:rsid w:val="7A687D3D"/>
    <w:rsid w:val="7D0D3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link w:val="27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1"/>
    <w:qFormat/>
    <w:uiPriority w:val="9"/>
    <w:pPr>
      <w:keepNext/>
      <w:keepLines/>
      <w:spacing w:before="260" w:after="260" w:line="416" w:lineRule="auto"/>
      <w:ind w:firstLine="200" w:firstLineChars="200"/>
      <w:jc w:val="left"/>
      <w:outlineLvl w:val="1"/>
    </w:pPr>
    <w:rPr>
      <w:rFonts w:ascii="Cambria" w:hAnsi="Cambria" w:eastAsia="宋体"/>
      <w:b/>
      <w:bCs/>
      <w:szCs w:val="32"/>
    </w:rPr>
  </w:style>
  <w:style w:type="paragraph" w:styleId="4">
    <w:name w:val="heading 3"/>
    <w:basedOn w:val="1"/>
    <w:next w:val="1"/>
    <w:link w:val="30"/>
    <w:qFormat/>
    <w:uiPriority w:val="0"/>
    <w:pPr>
      <w:keepNext/>
      <w:keepLines/>
      <w:spacing w:before="260" w:after="260" w:line="416" w:lineRule="auto"/>
      <w:outlineLvl w:val="2"/>
    </w:pPr>
    <w:rPr>
      <w:b/>
      <w:bCs/>
      <w:szCs w:val="32"/>
    </w:rPr>
  </w:style>
  <w:style w:type="character" w:default="1" w:styleId="15">
    <w:name w:val="Default Paragraph Font"/>
    <w:semiHidden/>
    <w:unhideWhenUsed/>
    <w:uiPriority w:val="1"/>
  </w:style>
  <w:style w:type="table" w:default="1" w:styleId="1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semiHidden/>
    <w:qFormat/>
    <w:uiPriority w:val="0"/>
    <w:pPr>
      <w:shd w:val="clear" w:color="auto" w:fill="000080"/>
    </w:pPr>
  </w:style>
  <w:style w:type="paragraph" w:styleId="6">
    <w:name w:val="Plain Text"/>
    <w:basedOn w:val="1"/>
    <w:link w:val="24"/>
    <w:unhideWhenUsed/>
    <w:qFormat/>
    <w:uiPriority w:val="99"/>
    <w:rPr>
      <w:rFonts w:ascii="宋体" w:hAnsi="Courier New" w:eastAsia="宋体"/>
      <w:sz w:val="21"/>
      <w:szCs w:val="21"/>
    </w:rPr>
  </w:style>
  <w:style w:type="paragraph" w:styleId="7">
    <w:name w:val="Balloon Text"/>
    <w:basedOn w:val="1"/>
    <w:semiHidden/>
    <w:qFormat/>
    <w:uiPriority w:val="0"/>
    <w:rPr>
      <w:sz w:val="18"/>
      <w:szCs w:val="18"/>
    </w:rPr>
  </w:style>
  <w:style w:type="paragraph" w:styleId="8">
    <w:name w:val="footer"/>
    <w:basedOn w:val="1"/>
    <w:link w:val="3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1"/>
    <w:next w:val="1"/>
    <w:qFormat/>
    <w:uiPriority w:val="39"/>
  </w:style>
  <w:style w:type="paragraph" w:styleId="11">
    <w:name w:val="Subtitle"/>
    <w:basedOn w:val="1"/>
    <w:next w:val="1"/>
    <w:link w:val="26"/>
    <w:qFormat/>
    <w:uiPriority w:val="0"/>
    <w:pPr>
      <w:spacing w:before="240" w:after="60" w:line="312" w:lineRule="auto"/>
      <w:jc w:val="center"/>
      <w:outlineLvl w:val="1"/>
    </w:pPr>
    <w:rPr>
      <w:rFonts w:ascii="Cambria" w:hAnsi="Cambria" w:eastAsia="宋体"/>
      <w:b/>
      <w:bCs/>
      <w:kern w:val="28"/>
      <w:szCs w:val="32"/>
    </w:rPr>
  </w:style>
  <w:style w:type="paragraph" w:styleId="12">
    <w:name w:val="toc 2"/>
    <w:basedOn w:val="1"/>
    <w:next w:val="1"/>
    <w:qFormat/>
    <w:uiPriority w:val="39"/>
    <w:pPr>
      <w:ind w:left="420" w:leftChars="200"/>
    </w:pPr>
  </w:style>
  <w:style w:type="paragraph" w:styleId="13">
    <w:name w:val="Title"/>
    <w:basedOn w:val="1"/>
    <w:next w:val="1"/>
    <w:link w:val="28"/>
    <w:qFormat/>
    <w:uiPriority w:val="0"/>
    <w:pPr>
      <w:spacing w:before="240" w:after="60"/>
      <w:jc w:val="center"/>
      <w:outlineLvl w:val="0"/>
    </w:pPr>
    <w:rPr>
      <w:rFonts w:ascii="Cambria" w:hAnsi="Cambria" w:eastAsia="宋体"/>
      <w:b/>
      <w:bCs/>
      <w:szCs w:val="32"/>
    </w:rPr>
  </w:style>
  <w:style w:type="character" w:styleId="16">
    <w:name w:val="Strong"/>
    <w:qFormat/>
    <w:uiPriority w:val="0"/>
    <w:rPr>
      <w:b/>
      <w:bCs/>
    </w:rPr>
  </w:style>
  <w:style w:type="character" w:styleId="17">
    <w:name w:val="page number"/>
    <w:basedOn w:val="15"/>
    <w:qFormat/>
    <w:uiPriority w:val="0"/>
  </w:style>
  <w:style w:type="character" w:styleId="18">
    <w:name w:val="FollowedHyperlink"/>
    <w:qFormat/>
    <w:uiPriority w:val="0"/>
    <w:rPr>
      <w:color w:val="800080"/>
      <w:u w:val="single"/>
    </w:rPr>
  </w:style>
  <w:style w:type="character" w:styleId="19">
    <w:name w:val="Emphasis"/>
    <w:qFormat/>
    <w:uiPriority w:val="0"/>
    <w:rPr>
      <w:i/>
      <w:iCs/>
    </w:rPr>
  </w:style>
  <w:style w:type="character" w:styleId="20">
    <w:name w:val="Hyperlink"/>
    <w:qFormat/>
    <w:uiPriority w:val="99"/>
    <w:rPr>
      <w:rFonts w:hint="default" w:ascii="ˎ̥" w:hAnsi="ˎ̥"/>
      <w:color w:val="0404B3"/>
      <w:sz w:val="18"/>
      <w:szCs w:val="18"/>
      <w:u w:val="none"/>
    </w:rPr>
  </w:style>
  <w:style w:type="paragraph" w:customStyle="1" w:styleId="21">
    <w:name w:val="_Style 20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 w:eastAsia="宋体"/>
      <w:color w:val="365F91"/>
      <w:kern w:val="0"/>
      <w:sz w:val="28"/>
      <w:szCs w:val="28"/>
    </w:rPr>
  </w:style>
  <w:style w:type="paragraph" w:customStyle="1" w:styleId="22">
    <w:name w:val="1.1"/>
    <w:basedOn w:val="4"/>
    <w:link w:val="29"/>
    <w:qFormat/>
    <w:uiPriority w:val="0"/>
    <w:pPr>
      <w:numPr>
        <w:ilvl w:val="1"/>
        <w:numId w:val="1"/>
      </w:numPr>
      <w:ind w:firstLine="0"/>
      <w:jc w:val="left"/>
    </w:pPr>
    <w:rPr>
      <w:rFonts w:ascii="Calibri" w:hAnsi="Calibri" w:eastAsia="宋体"/>
      <w:sz w:val="30"/>
    </w:rPr>
  </w:style>
  <w:style w:type="character" w:customStyle="1" w:styleId="23">
    <w:name w:val="页眉 Char"/>
    <w:link w:val="9"/>
    <w:qFormat/>
    <w:uiPriority w:val="99"/>
    <w:rPr>
      <w:rFonts w:eastAsia="仿宋_GB2312"/>
      <w:kern w:val="2"/>
      <w:sz w:val="18"/>
      <w:szCs w:val="18"/>
    </w:rPr>
  </w:style>
  <w:style w:type="character" w:customStyle="1" w:styleId="24">
    <w:name w:val="纯文本 Char"/>
    <w:link w:val="6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25">
    <w:name w:val="纯文本 Char1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6">
    <w:name w:val="副标题 Char"/>
    <w:link w:val="11"/>
    <w:qFormat/>
    <w:uiPriority w:val="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27">
    <w:name w:val="标题 1 Char"/>
    <w:link w:val="2"/>
    <w:qFormat/>
    <w:uiPriority w:val="0"/>
    <w:rPr>
      <w:rFonts w:eastAsia="仿宋_GB2312"/>
      <w:b/>
      <w:bCs/>
      <w:kern w:val="44"/>
      <w:sz w:val="44"/>
      <w:szCs w:val="44"/>
    </w:rPr>
  </w:style>
  <w:style w:type="character" w:customStyle="1" w:styleId="28">
    <w:name w:val="标题 Char"/>
    <w:link w:val="13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29">
    <w:name w:val="1.1 Char"/>
    <w:link w:val="22"/>
    <w:qFormat/>
    <w:uiPriority w:val="0"/>
    <w:rPr>
      <w:rFonts w:ascii="Calibri" w:hAnsi="Calibri"/>
      <w:b/>
      <w:bCs/>
      <w:kern w:val="2"/>
      <w:sz w:val="30"/>
      <w:szCs w:val="32"/>
    </w:rPr>
  </w:style>
  <w:style w:type="character" w:customStyle="1" w:styleId="30">
    <w:name w:val="标题 3 Char"/>
    <w:link w:val="4"/>
    <w:semiHidden/>
    <w:qFormat/>
    <w:uiPriority w:val="0"/>
    <w:rPr>
      <w:rFonts w:eastAsia="仿宋_GB2312"/>
      <w:b/>
      <w:bCs/>
      <w:kern w:val="2"/>
      <w:sz w:val="32"/>
      <w:szCs w:val="32"/>
    </w:rPr>
  </w:style>
  <w:style w:type="character" w:customStyle="1" w:styleId="31">
    <w:name w:val="标题 2 Char"/>
    <w:link w:val="3"/>
    <w:qFormat/>
    <w:uiPriority w:val="9"/>
    <w:rPr>
      <w:rFonts w:ascii="Cambria" w:hAnsi="Cambria"/>
      <w:b/>
      <w:bCs/>
      <w:kern w:val="2"/>
      <w:sz w:val="32"/>
      <w:szCs w:val="32"/>
    </w:rPr>
  </w:style>
  <w:style w:type="character" w:customStyle="1" w:styleId="32">
    <w:name w:val="页脚 Char"/>
    <w:link w:val="8"/>
    <w:qFormat/>
    <w:uiPriority w:val="99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5</Pages>
  <Words>513</Words>
  <Characters>2927</Characters>
  <Lines>24</Lines>
  <Paragraphs>6</Paragraphs>
  <TotalTime>1</TotalTime>
  <ScaleCrop>false</ScaleCrop>
  <LinksUpToDate>false</LinksUpToDate>
  <CharactersWithSpaces>3434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2016-10-19T07:39:00Z</dcterms:created>
  <dc:creator>Lenovo</dc:creator>
  <cp:lastModifiedBy>拱酝爻涣和</cp:lastModifiedBy>
  <cp:lastPrinted>2016-11-15T16:26:00Z</cp:lastPrinted>
  <dcterms:modified xsi:type="dcterms:W3CDTF">2025-06-29T09:55:43Z</dcterms:modified>
  <dc:title>法规修改决定电子报备格式标准及示例</dc:title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EE377E06E264414CBEDE8BC0C3BB0717_12</vt:lpwstr>
  </property>
</Properties>
</file>