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6DD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4515AA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2D665C8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b/>
          <w:bCs/>
          <w:kern w:val="0"/>
          <w:sz w:val="44"/>
          <w:szCs w:val="44"/>
        </w:rPr>
      </w:pPr>
      <w:r>
        <w:rPr>
          <w:rFonts w:hint="eastAsia" w:eastAsia="宋体" w:cs="宋体"/>
          <w:b w:val="0"/>
          <w:bCs w:val="0"/>
          <w:kern w:val="0"/>
          <w:sz w:val="44"/>
          <w:szCs w:val="44"/>
          <w:lang w:eastAsia="zh-CN"/>
        </w:rPr>
        <w:t>和平民主王国</w:t>
      </w:r>
      <w:r>
        <w:rPr>
          <w:rFonts w:hint="eastAsia" w:ascii="Times New Roman" w:hAnsi="Times New Roman" w:eastAsia="宋体" w:cs="宋体"/>
          <w:b w:val="0"/>
          <w:bCs w:val="0"/>
          <w:kern w:val="0"/>
          <w:sz w:val="44"/>
          <w:szCs w:val="44"/>
        </w:rPr>
        <w:t>航道法</w:t>
      </w:r>
    </w:p>
    <w:p w14:paraId="66B9AFA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643E5D69">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24FBA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107FB0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b/>
          <w:bCs/>
          <w:kern w:val="0"/>
          <w:szCs w:val="32"/>
        </w:rPr>
      </w:pPr>
      <w:r>
        <w:rPr>
          <w:rFonts w:hint="eastAsia" w:ascii="Times New Roman" w:hAnsi="Times New Roman" w:eastAsia="楷体_GB2312" w:cs="楷体_GB2312"/>
          <w:b w:val="0"/>
          <w:bCs w:val="0"/>
          <w:kern w:val="0"/>
          <w:szCs w:val="32"/>
        </w:rPr>
        <w:t>目</w:t>
      </w:r>
      <w:r>
        <w:rPr>
          <w:rFonts w:hint="eastAsia" w:ascii="Times New Roman" w:hAnsi="Times New Roman" w:eastAsia="楷体_GB2312" w:cs="楷体_GB2312"/>
          <w:b w:val="0"/>
          <w:bCs w:val="0"/>
          <w:kern w:val="0"/>
          <w:szCs w:val="32"/>
          <w:lang w:eastAsia="zh-CN"/>
        </w:rPr>
        <w:t>　　</w:t>
      </w:r>
      <w:r>
        <w:rPr>
          <w:rFonts w:hint="eastAsia" w:ascii="Times New Roman" w:hAnsi="Times New Roman" w:eastAsia="楷体_GB2312" w:cs="楷体_GB2312"/>
          <w:b w:val="0"/>
          <w:bCs w:val="0"/>
          <w:kern w:val="0"/>
          <w:szCs w:val="32"/>
        </w:rPr>
        <w:t>录</w:t>
      </w:r>
    </w:p>
    <w:p w14:paraId="1745B0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7E09F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航道规划</w:t>
      </w:r>
    </w:p>
    <w:p w14:paraId="43ED80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航道建设</w:t>
      </w:r>
    </w:p>
    <w:p w14:paraId="4319B8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航道养护</w:t>
      </w:r>
    </w:p>
    <w:p w14:paraId="323FB8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航道保护</w:t>
      </w:r>
    </w:p>
    <w:p w14:paraId="3F7E6A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14:paraId="27C570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14:paraId="5B9048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99C908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b w:val="0"/>
          <w:bCs w:val="0"/>
          <w:kern w:val="0"/>
          <w:szCs w:val="32"/>
        </w:rPr>
      </w:pPr>
      <w:r>
        <w:rPr>
          <w:rFonts w:hint="eastAsia" w:ascii="Times New Roman" w:hAnsi="Times New Roman" w:eastAsia="黑体" w:cs="黑体"/>
          <w:b w:val="0"/>
          <w:bCs w:val="0"/>
          <w:kern w:val="0"/>
          <w:szCs w:val="32"/>
        </w:rPr>
        <w:t>第一章　总则</w:t>
      </w:r>
    </w:p>
    <w:p w14:paraId="6F9E1A6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419F1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为了规范和加强航道的规划、建设、养护、保护，保障航道畅通和通航安全，促进水路运输发展，制定本法。</w:t>
      </w:r>
    </w:p>
    <w:p w14:paraId="4AAFB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本法所称航道，是指</w:t>
      </w:r>
      <w:r>
        <w:rPr>
          <w:rFonts w:hint="eastAsia" w:cs="Arial"/>
          <w:kern w:val="0"/>
          <w:szCs w:val="32"/>
          <w:lang w:eastAsia="zh-CN"/>
        </w:rPr>
        <w:t>和平民主王国</w:t>
      </w:r>
      <w:r>
        <w:rPr>
          <w:rFonts w:hint="eastAsia" w:ascii="Times New Roman" w:hAnsi="Times New Roman" w:cs="Arial"/>
          <w:kern w:val="0"/>
          <w:szCs w:val="32"/>
        </w:rPr>
        <w:t>领域内的江河、湖泊等内陆水域中可以供船舶通航的通道，以及内海、领海中经建设、养护可以供船舶通航的通道。航道包括通航建筑物、航道整治建筑物和航标等航道设施。</w:t>
      </w:r>
    </w:p>
    <w:p w14:paraId="1F2787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规划、建设、养护、保护航道，应当根据经济社会发展和国防建设的需要，遵循综合利用和保护水资源、保护生态环境的原则，服从综合交通运输体系建设和防洪总体安排，统筹兼顾供水、灌溉、发电、渔业等需求，发挥水资源的综合效益。</w:t>
      </w:r>
    </w:p>
    <w:p w14:paraId="6352B4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　　第</w:t>
      </w:r>
      <w:r>
        <w:rPr>
          <w:rFonts w:hint="eastAsia" w:ascii="Times New Roman" w:hAnsi="Times New Roman" w:eastAsia="黑体" w:cs="黑体"/>
          <w:kern w:val="0"/>
          <w:szCs w:val="32"/>
        </w:rPr>
        <w:t>四条</w:t>
      </w:r>
      <w:r>
        <w:rPr>
          <w:rFonts w:hint="eastAsia" w:ascii="Times New Roman" w:hAnsi="Times New Roman" w:cs="Arial"/>
          <w:kern w:val="0"/>
          <w:szCs w:val="32"/>
        </w:rPr>
        <w:t>　国务院和有关县级以上地方人民政府应当加强对航道工作的领导，组织、协调、督促有关部门采取措施，保持和改善航道通航条件，保护航道安全，维护航道网络完整和畅通。</w:t>
      </w:r>
    </w:p>
    <w:p w14:paraId="0F508C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国务院和有关县级以上地方人民政府应当根据经济社会发展水平和航道建设、养护的需要，在财政预算中合理安排航道建设和养护资金。</w:t>
      </w:r>
    </w:p>
    <w:p w14:paraId="6B5942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国务院交通运输主管部门主管全国航道管理工作，并按照国务院的规定直接管理跨省、自治区、直辖市的重要干线航道和国际、国境河流航道等重要航道。</w:t>
      </w:r>
    </w:p>
    <w:p w14:paraId="6AF2E2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县级以上地方人民政府交通运输主管部门按照省、自治区、直辖市人民政府的规定主管所辖航道的管理工作。</w:t>
      </w:r>
    </w:p>
    <w:p w14:paraId="3C426E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国务院交通运输主管部门按照国务院规定设置的负责航道管理的机构和县级以上地方人民政府负责航道管理的部门或者机构（以下统称负责航道管理的部门），承担本法规定的航道管理工作。</w:t>
      </w:r>
    </w:p>
    <w:p w14:paraId="6ACC531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8C813F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航道规划</w:t>
      </w:r>
    </w:p>
    <w:p w14:paraId="4FAB701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96A9D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航道规划分为全国航道规划、流域航道规划、区域航道规划和省、自治区、直辖市航道规划。</w:t>
      </w:r>
    </w:p>
    <w:p w14:paraId="46ED18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航道规划应当包括航道的功能定位、规划目标、发展规划技术等级、规划实施步骤以及保障措施等内容。</w:t>
      </w:r>
    </w:p>
    <w:p w14:paraId="1B7703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规划应当符合依法制定的流域、区域综合规划，符合水资源规划、防洪规划和海洋功能区划，并与涉及水资源综合利用的相关专业规划以及依法制定的城乡规划、环境保护规划等其他相关规划和军事设施保护区划相协调。</w:t>
      </w:r>
    </w:p>
    <w:p w14:paraId="569245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航道应当划分技术等级。航道技术等级包括现状技术等级和发展规划技术等级。航道发展规划技术等级根据相关自然条件以及防洪、供水、水资源保护、生态环境保护要求和航运发展需求等因素评定。</w:t>
      </w:r>
    </w:p>
    <w:p w14:paraId="4B4261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全国航道规划由国务院交通运输主管部门会同国务院发展改革部门、国务院水行政主管部门等部门编制，报国务院批准公布。流域航道规划、区域航道规划由国务院交通运输主管部门编制并公布。</w:t>
      </w:r>
    </w:p>
    <w:p w14:paraId="1546E3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省、自治区、直辖市航道规划由省、自治区、直辖市人民政府交通运输主管部门会同同级发展改革部门、水行政主管部门等部门编制，报省、自治区、直辖市人民政府会同国务院交通运输主管部门批准公布。</w:t>
      </w:r>
    </w:p>
    <w:p w14:paraId="5DC81B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编制航道规划应当征求有关部门和有关军事机关的意见，并依法进行环境影响评价。涉及海域、重要渔业水域的，应当有同级海洋主管部门、渔业行政主管部门参加。编制全国航道规划和流域航道规划、区域航道规划应当征求相关省、自治区、直辖市人民政府的意见。</w:t>
      </w:r>
    </w:p>
    <w:p w14:paraId="0554AE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流域航道规划、区域航道规划和省、自治区、直辖市航道规划应当符合全国航道规划。</w:t>
      </w:r>
    </w:p>
    <w:p w14:paraId="1F7CCD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依法制定并公布的航道规划应当依照执行；航道规划确需修改的，依照规划编制程序办理。</w:t>
      </w:r>
    </w:p>
    <w:p w14:paraId="20C3EA6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7CD94B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航道建设</w:t>
      </w:r>
    </w:p>
    <w:p w14:paraId="7A740AC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44B88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新建航道以及为改善航道通航条件而进行的航道工程建设，应当遵守法律、行政法规关于建设工程质量管理、安全管理和生态环境保护的规定，符合航道规划，执行有关的国家标准、行业标准和技术规范，依法办理相关手续。</w:t>
      </w:r>
    </w:p>
    <w:p w14:paraId="22F511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航道建设单位应当根据航道建设工程的技术要求，依法通过招标等方式选择具有相应资质的勘察、设计、施工和监理单位进行工程建设，对工程质量和安全进行监督检查，并对工程质量和安全负责。</w:t>
      </w:r>
    </w:p>
    <w:p w14:paraId="28DCAD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从事航道工程建设的勘察、设计、施工和监理单位，应当依照法律、行政法规的规定取得相应的资质，并在其资质等级许可的范围内从事航道工程建设活动，依法对勘察、设计、施工、监理的质量和安全负责。</w:t>
      </w:r>
    </w:p>
    <w:p w14:paraId="184F0C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有关县级以上人民政府交通运输主管部门应当加强对航道建设工程质量和安全的监督检查，保障航道建设工程的质量和安全。</w:t>
      </w:r>
    </w:p>
    <w:p w14:paraId="0397F7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航道建设工程竣工后，应当按照国家有关规定组织竣工验收，经验收合格方可正式投入使用。</w:t>
      </w:r>
    </w:p>
    <w:p w14:paraId="4F5464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航道建设单位应当自航道建设工程竣工验收合格之日起六十日内，将竣工测量图报送负责航道管理的部门。沿海航道的竣工测量图还应当报送海军航海保证部门。</w:t>
      </w:r>
    </w:p>
    <w:p w14:paraId="6A89C8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进行航道工程建设应当维护河势稳定，符合防洪要求，不得危及依法建设的其他工程或者设施的安全。因航道工程建设损坏依法建设的其他工程或者设施的，航道建设单位应当予以修复或者依法赔偿。</w:t>
      </w:r>
    </w:p>
    <w:p w14:paraId="3633203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06839D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航道养护</w:t>
      </w:r>
    </w:p>
    <w:p w14:paraId="0C8F6B7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D5EB8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国务院交通运输主管部门应当制定航道养护技术规范。</w:t>
      </w:r>
    </w:p>
    <w:p w14:paraId="3E474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负责航道管理的部门应当按照航道养护技术规范进行航道养护，保证航道处于良好通航技术状态。</w:t>
      </w:r>
    </w:p>
    <w:p w14:paraId="158745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负责航道管理的部门应当根据航道现状技术等级或者航道自然条件确定并公布航道维护尺度和内河航道图。</w:t>
      </w:r>
    </w:p>
    <w:p w14:paraId="307190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航道维护尺度是指航道在不同水位期应当保持的水深、宽度、弯曲半径等技术要求。</w:t>
      </w:r>
    </w:p>
    <w:p w14:paraId="40681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负责航道管理的部门应当按照国务院交通运输主管部门的规定对航道进行巡查，发现航道实际尺度达不到航道维护尺度或者有其他不符合保证船舶通航安全要求的情形，应当进行维护，及时发布航道通告并通报海事管理机构。</w:t>
      </w:r>
    </w:p>
    <w:p w14:paraId="5BB57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海事管理机构发现航道损毁等危及通航安全的情形，应当及时通报负责航道管理的部门，并采取必要的安全保障措施。</w:t>
      </w:r>
    </w:p>
    <w:p w14:paraId="11A376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其他单位和人员发现航道损毁等危及通航安全的情形，应当及时报告负责航道管理的部门或者海事管理机构。</w:t>
      </w:r>
    </w:p>
    <w:p w14:paraId="7ED99E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负责航道管理的部门应当合理安排航道养护作业，避免限制通航的集中作业和在通航高峰期作业。</w:t>
      </w:r>
    </w:p>
    <w:p w14:paraId="064E2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责航道管理的部门进行航道疏浚、清障等影响通航的航道养护活动，或者确需限制通航的养护作业的，应当设置明显的作业标志，采取必要的安全措施，并提前通报海事管理机构，保证过往船舶通行以及依法建设的工程设施的安全。养护作业结束后，应当及时清除影响航道通航条件的作业标志及其他残留物，恢复正常通航。</w:t>
      </w:r>
    </w:p>
    <w:p w14:paraId="65619D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进行航道养护作业可能造成航道堵塞的，有关负责航道管理的部门应当会同海事管理机构事先通报相关区域负责航道管理的部门和海事管理机构，共同制定船舶疏导方案，并向社会公告。</w:t>
      </w:r>
    </w:p>
    <w:p w14:paraId="42390A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因自然灾害、事故灾难等突发事件造成航道损坏、阻塞的，负责航道管理的部门应当按照突发事件应急预案尽快修复抢通；必要时由县级以上人民政府组织尽快修复抢通。</w:t>
      </w:r>
    </w:p>
    <w:p w14:paraId="502681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船舶、设施或者其他物体在航道水域中沉没，影响航道畅通和通航安全的，其所有人或者经营人应当立即报告负责航道管理的部门和海事管理机构，按照规定自行或者委托负责航道管理的部门或者海事管理机构代为设置标志，并应当在海事管理机构限定的时间内打捞清除。</w:t>
      </w:r>
    </w:p>
    <w:p w14:paraId="3C8A2D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航标的设置、养护、保护和管理，依照有关法律、行政法规和国家标准或者行业标准的规定执行。</w:t>
      </w:r>
    </w:p>
    <w:p w14:paraId="5CD65F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部队执行任务、战备训练需要使用航道的，负责航道管理的部门应当给予必要的支持和协助。</w:t>
      </w:r>
    </w:p>
    <w:p w14:paraId="3448077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7A73D8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航道保护</w:t>
      </w:r>
    </w:p>
    <w:p w14:paraId="5BEFD48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E12EF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新建、改建、扩建（以下统称建设）跨越、穿越航道的桥梁、隧道、管道、缆线等建筑物、构筑物，应当符合该航道发展规划技术等级对通航净高、净宽、埋设深度等航道通航条件的要求。</w:t>
      </w:r>
    </w:p>
    <w:p w14:paraId="693D74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在通航河流上建设永久性拦河闸坝，建设单位应当按照航道发展规划技术等级建设通航建筑物。通航建筑物应当与主体工程同步规划、同步设计、同步建设、同步验收、同步投入使用。</w:t>
      </w:r>
    </w:p>
    <w:p w14:paraId="4E921C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闸坝建设期间难以维持航道原有通航能力的，建设单位应当采取修建临时航道、安排翻坝转运等补救措施，所需费用由建设单位承担。</w:t>
      </w:r>
    </w:p>
    <w:p w14:paraId="6FB3F7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在不通航河流上建设闸坝后可以通航的，闸坝建设单位应当同步建设通航建筑物或者预留通航建筑物位置，通航建筑物建设费用除国家另有规定外，由交通运输主管部门承担。</w:t>
      </w:r>
    </w:p>
    <w:p w14:paraId="096C79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通航建筑物的运行应当适应船舶通行需要，运行方案应当经负责航道管理的部门同意并公布。通航建筑物的建设单位或者管理单位应当按照规定维护保养通航建筑物，保持其正常运行。</w:t>
      </w:r>
    </w:p>
    <w:p w14:paraId="316888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在航道保护范围内建设临河、临湖、临海建筑物或者构筑物，应当符合该航道通航条件的要求。</w:t>
      </w:r>
    </w:p>
    <w:p w14:paraId="00FE6D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航道保护范围由县级以上地方人民政府交通运输主管部门会同水行政主管部门或者流域管理机构、国土资源主管部门根据航道发展规划技术等级和航道保护实际需要划定，报本级人民政府批准公布。国务院交通运输主管部门直接管理的航道的航道保护范围，由国务院交通运输主管部门会同国务院水行政主管部门、国务院国土资源主管部门和有关省、自治区、直辖市人民政府划定公布。航道保护范围涉及海域、重要渔业水域的，还应当分别会同同级海洋主管部门、渔业行政主管部门划定。</w:t>
      </w:r>
    </w:p>
    <w:p w14:paraId="4713A2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建设本法第二十四条、第二十五条第一款、第二十六条第一款规定的工程（以下统称与航道有关的工程），除依照法律、行政法规或者国务院规定进行的防洪、供水等特殊工程外，不得因工程建设降低航道通航条件。</w:t>
      </w:r>
    </w:p>
    <w:p w14:paraId="70303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建设与航道有关的工程，建设单位应当在工程可行性研究阶段就建设项目对航道通航条件的影响作出评价，并报送有审核权的交通运输主管部门或者航道管理机构审核，但下列工程除外:</w:t>
      </w:r>
    </w:p>
    <w:p w14:paraId="00785F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（一）临河、临湖的中小河流治理工程；</w:t>
      </w:r>
    </w:p>
    <w:p w14:paraId="553FBB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（二）不通航河流上建设的水工程；</w:t>
      </w:r>
    </w:p>
    <w:p w14:paraId="33BBA3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（三）现有水工程的水毁修复、除险加固、不涉及通航建筑物和不改变航道原通航条件的更新改造等不影响航道通航条件的工程。</w:t>
      </w:r>
    </w:p>
    <w:p w14:paraId="0A6386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建设单位报送的航道通航条件影响评价材料不符合本法规定的，可以进行补充或者修改，重新报送审核部门审核。</w:t>
      </w:r>
    </w:p>
    <w:p w14:paraId="76A4AF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未进行航道通航条件影响评价或者经审核部门审核认为建设项目不符合本法规定的，建设单位不得建设。政府投资项目未进行航道通航条件影响评价或者经审核部门审核认为建设项目不符合本法规定的，负责建设项目审批的部门不予批准。</w:t>
      </w:r>
    </w:p>
    <w:p w14:paraId="3BD914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务院或者国务院有关部门批准、核准的建设项目，以及与国务院交通运输主管部门直接管理的航道有关的建设项目的航道通航条件影响评价，由国务院交通运输主管部门审核；其他建设项目的航道通航条件影响评价，按照省、自治区、直辖市人民政府的规定由县级以上地方人民政府交通运输主管部门或者航道管理机构审核。</w:t>
      </w:r>
    </w:p>
    <w:p w14:paraId="4D7C0E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航道上相邻拦河闸坝之间的航道通航水位衔接，应当符合国家规定的通航标准和技术要求。位于航道及其上游支流上的水工程，应当在设计、施工和调度运行中统筹考虑下游航道设计最低通航水位所需的下泄流量，但水文条件超出实际标准的除外。</w:t>
      </w:r>
    </w:p>
    <w:p w14:paraId="0C2BC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保障下游航道通航所需的最小下泄流量以及满足航道通航条件允许的水位变化的确定，应当征求负责航道管理的部门的意见。</w:t>
      </w:r>
    </w:p>
    <w:p w14:paraId="7C7842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水工程需大幅度减流或者大流量泄水的，应当提前通报负责航道管理的部门和海事管理机构，给船舶避让留出合理的时间。</w:t>
      </w:r>
    </w:p>
    <w:p w14:paraId="13679D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与航道有关的工程施工影响航道正常功能的，负责航道管理的部门、海事管理机构应当根据需要对航标或者航道的位置、走向进行临时调整；影响消除后应当及时恢复。所需费用由建设单位承担，但因防洪抢险工程引起调整的除外。</w:t>
      </w:r>
    </w:p>
    <w:p w14:paraId="57D4F6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与航道有关的工程竣工验收前，建设单位应当及时清除影响航道通航条件的临时设施及其残留物。</w:t>
      </w:r>
    </w:p>
    <w:p w14:paraId="1FA95E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与航道有关的工程建设活动不得危及航道安全。</w:t>
      </w:r>
    </w:p>
    <w:p w14:paraId="187B7E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与航道有关的工程建设活动损坏航道的，建设单位应当予以修复或者依法赔偿。</w:t>
      </w:r>
    </w:p>
    <w:p w14:paraId="24154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在通航水域上建设桥梁等建筑物，建设单位应当按照国家有关规定和技术要求设置航标等设施，并承担相应费用。</w:t>
      </w:r>
    </w:p>
    <w:p w14:paraId="2BC81D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桥区水上航标由负责航道管理的部门、海事管理机构负责管理维护。</w:t>
      </w:r>
    </w:p>
    <w:p w14:paraId="5E8CCA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禁止下列危害航道通航安全的行为:</w:t>
      </w:r>
    </w:p>
    <w:p w14:paraId="7A1BEB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（一）在航道内设置渔具或者水产养殖设施的；</w:t>
      </w:r>
    </w:p>
    <w:p w14:paraId="56B6FE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（二）在航道和航道保护范围内倾倒砂石、泥土、垃圾以及其他废弃物的；</w:t>
      </w:r>
    </w:p>
    <w:p w14:paraId="2504A0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（三）在通航建筑物及其引航道和船舶调度区内从事货物装卸、水上加油、船舶维修、捕鱼等，影响通航建筑物正常运行的；</w:t>
      </w:r>
    </w:p>
    <w:p w14:paraId="3273F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（四）危害航道设施安全的；</w:t>
      </w:r>
    </w:p>
    <w:p w14:paraId="04A88D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（五）其他危害航道通航安全的行为。</w:t>
      </w:r>
    </w:p>
    <w:p w14:paraId="7F207D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在河道内采砂，应当依照有关法律、行政法规的规定进行。禁止在河道内依法划定的砂石禁采区采砂、无证采砂、未按批准的范围和作业方式采砂等非法采砂行为。</w:t>
      </w:r>
    </w:p>
    <w:p w14:paraId="3568DF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在航道和航道保护范围内采砂，不得损害航道通航条件。</w:t>
      </w:r>
    </w:p>
    <w:p w14:paraId="619404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本法施行前建设的拦河闸坝造成通航河流断航，需要恢复通航且具备建设通航建筑物条件的，由发展改革部门会同水行政主管部门、交通运输主管部门提出恢复通航方案，报本级人民政府决定。</w:t>
      </w:r>
    </w:p>
    <w:p w14:paraId="41E1AE6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68BA50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7F02731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F4903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航道建设、勘察、设计、施工、监理单位在航道建设活动中违反本法规定的，由县级以上人民政府交通运输主管部门依照有关招标投标和工程建设管理的法律、行政法规的规定处罚。</w:t>
      </w:r>
    </w:p>
    <w:p w14:paraId="25FBAD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建设单位未依法报送航道通航条件影响评价材料而开工建设的，由有审核权的交通运输主管部门或者航道管理机构责令停止建设，限期补办手续，处三万元以下的罚款；逾期不补办手续继续建设的，由有审核权的交通运输主管部门或者航道管理机构责令恢复原状，处二十万元以上五十万元以下的罚款。</w:t>
      </w:r>
    </w:p>
    <w:p w14:paraId="4A3D7F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报送的航道通航条件影响评价材料未通过审核，建设单位开工建设的，由有审核权的交通运输主管部门或者航道管理机构责令停止建设、恢复原状，处二十万元以上五十万元以下的罚款。</w:t>
      </w:r>
    </w:p>
    <w:p w14:paraId="2BACAE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航道通航条件影响评价的规定建成的项目导致航道通航条件严重下降的，由前两款规定的交通运输主管部门或者航道管理机构责令限期采取补救措施或者拆除；逾期未采取补救措施或者拆除的，由交通运输主管部门或者航道管理机构代为采取补救措施或者依法组织拆除，所需费用由建设单位承担。</w:t>
      </w:r>
    </w:p>
    <w:p w14:paraId="011768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与航道有关的工程的建设单位违反本法规定，未及时清除影响航道通航条件的临时设施及其残留物的，由负责航道管理的部门责令限期清除，处二万元以下的罚款；逾期仍未清除的，处三万元以上二十万元以下的罚款，并由负责航道管理的部门依法组织清除，所需费用由建设单位承担。</w:t>
      </w:r>
    </w:p>
    <w:p w14:paraId="40F6AE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在通航水域上建设桥梁等建筑物，建设单位未按照规定设置航标等设施的，由负责航道管理的部门或者海事管理机构责令改正，处五万元以下罚款。</w:t>
      </w:r>
    </w:p>
    <w:p w14:paraId="65E96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违反本法规定，有下列行为之一的，由负责航道管理的部门责令改正，对单位处五万元以下罚款，对个人处二千元以下罚款；造成损失的，依法承担赔偿责任:</w:t>
      </w:r>
    </w:p>
    <w:p w14:paraId="26488B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（一）在航道内设置渔具或者水产养殖设施的；</w:t>
      </w:r>
    </w:p>
    <w:p w14:paraId="05002A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（二）在航道和航道保护范围内倾倒砂石、泥土、垃圾以及其他废弃物的；</w:t>
      </w:r>
    </w:p>
    <w:p w14:paraId="5DBCFF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（三）在通航建筑物及其引航道和船舶调度区内从事货物装卸、水上加油、船舶维修、捕鱼等，影响通航建筑物正常运行的；</w:t>
      </w:r>
    </w:p>
    <w:p w14:paraId="685A64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（四）危害航道设施安全的；</w:t>
      </w:r>
    </w:p>
    <w:p w14:paraId="421258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（五）其他危害航道通航安全的行为。</w:t>
      </w:r>
    </w:p>
    <w:p w14:paraId="750603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在河道内依法划定的砂石禁采区采砂、无证采砂、未按批准的范围和作业方式采砂等非法采砂的，依照有关法律、行政法规的规定处罚。</w:t>
      </w:r>
    </w:p>
    <w:p w14:paraId="3A4654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规定，在航道和航道保护范围内采砂，损害航道通航条件的，由负责航道管理的部门责令停止违法行为，没收违法所得，可以扣押或者没收非法采砂船舶，并处五万元以上三十万元以下罚款；造成损失的，依法承担赔偿责任。</w:t>
      </w:r>
    </w:p>
    <w:p w14:paraId="636E7D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违反法律规定，污染环境、破坏生态或者有其他环境违法行为的，依照《</w:t>
      </w:r>
      <w:r>
        <w:rPr>
          <w:rFonts w:hint="eastAsia" w:cs="Arial"/>
          <w:kern w:val="0"/>
          <w:szCs w:val="32"/>
          <w:lang w:eastAsia="zh-CN"/>
        </w:rPr>
        <w:t>和平民主王国</w:t>
      </w:r>
      <w:r>
        <w:rPr>
          <w:rFonts w:hint="eastAsia" w:ascii="Times New Roman" w:hAnsi="Times New Roman" w:cs="Arial"/>
          <w:kern w:val="0"/>
          <w:szCs w:val="32"/>
        </w:rPr>
        <w:t>环境保护法》等法律的规定处罚。</w:t>
      </w:r>
    </w:p>
    <w:p w14:paraId="78A97A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交通运输主管部门以及其他有关部门不依法履行本法规定的职责的，对直接负责的主管人员和其他直接责任人员依法给予处分。</w:t>
      </w:r>
    </w:p>
    <w:p w14:paraId="7401A4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负责航道管理的机构不依法履行本法规定的职责的，由其上级主管部门责令改正，对直接负责的主管人员和其他直接责任人员依法给予处分。</w:t>
      </w:r>
    </w:p>
    <w:p w14:paraId="21FFF3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违反本法规定，构成违反治安管理行为的，依法给予治安管理处罚；构成犯罪的，依法追究刑事责任。</w:t>
      </w:r>
    </w:p>
    <w:p w14:paraId="03898A8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8383CF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14:paraId="721B6C3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2CFBC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进出军事港口、渔业港口的专用航道不适用本法。专用航道由专用部门管理。</w:t>
      </w:r>
    </w:p>
    <w:p w14:paraId="52BC64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B75C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A3AF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371A3AF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C44F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39B9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1F39B9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7339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D832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1B822A9"/>
    <w:rsid w:val="28A83523"/>
    <w:rsid w:val="2F7753E6"/>
    <w:rsid w:val="3258761C"/>
    <w:rsid w:val="34B13AF4"/>
    <w:rsid w:val="3CCD7810"/>
    <w:rsid w:val="44BC0EEC"/>
    <w:rsid w:val="457B2892"/>
    <w:rsid w:val="482A39F4"/>
    <w:rsid w:val="56755F92"/>
    <w:rsid w:val="60BE44F5"/>
    <w:rsid w:val="653A70E2"/>
    <w:rsid w:val="6C1E17DE"/>
    <w:rsid w:val="6C696823"/>
    <w:rsid w:val="6CB20AFD"/>
    <w:rsid w:val="6E8D2B3C"/>
    <w:rsid w:val="6FF03043"/>
    <w:rsid w:val="72406E3D"/>
    <w:rsid w:val="78EE1A35"/>
    <w:rsid w:val="7CC946CB"/>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2159</Words>
  <Characters>12310</Characters>
  <Lines>102</Lines>
  <Paragraphs>28</Paragraphs>
  <TotalTime>10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2025-06-29T09:54:32Z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D3307D93C7174A358ECABE1F94759BA6_12</vt:lpwstr>
  </property>
</Properties>
</file>