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F5044">
      <w:pPr>
        <w:rPr>
          <w:rFonts w:ascii="宋体" w:hAnsi="宋体" w:eastAsia="宋体" w:cs="宋体"/>
          <w:kern w:val="0"/>
          <w:szCs w:val="32"/>
        </w:rPr>
      </w:pPr>
      <w:bookmarkStart w:id="1" w:name="_GoBack"/>
      <w:bookmarkEnd w:id="1"/>
    </w:p>
    <w:p w14:paraId="1A72331A">
      <w:pPr>
        <w:rPr>
          <w:rFonts w:ascii="宋体" w:hAnsi="宋体" w:eastAsia="宋体" w:cs="宋体"/>
          <w:kern w:val="0"/>
          <w:szCs w:val="32"/>
        </w:rPr>
      </w:pPr>
    </w:p>
    <w:p w14:paraId="7F16123F">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车船税法</w:t>
      </w:r>
      <w:bookmarkEnd w:id="0"/>
    </w:p>
    <w:p w14:paraId="12C8F20A">
      <w:pPr>
        <w:ind w:firstLine="632" w:firstLineChars="200"/>
        <w:rPr>
          <w:rFonts w:ascii="宋体" w:hAnsi="宋体" w:eastAsia="宋体" w:cs="宋体"/>
          <w:szCs w:val="32"/>
        </w:rPr>
      </w:pPr>
    </w:p>
    <w:p w14:paraId="0C01156C">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52624F3D">
      <w:pPr>
        <w:rPr>
          <w:rFonts w:ascii="宋体" w:hAnsi="宋体" w:eastAsia="宋体" w:cs="宋体"/>
        </w:rPr>
      </w:pPr>
    </w:p>
    <w:p w14:paraId="67199762">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在</w:t>
      </w:r>
      <w:r>
        <w:rPr>
          <w:rFonts w:hint="eastAsia" w:ascii="仿宋_GB2312" w:hAnsi="仿宋_GB2312" w:cs="仿宋_GB2312"/>
          <w:lang w:eastAsia="zh-CN"/>
        </w:rPr>
        <w:t>和平民主王国</w:t>
      </w:r>
      <w:r>
        <w:rPr>
          <w:rFonts w:ascii="仿宋_GB2312" w:hAnsi="仿宋_GB2312" w:cs="仿宋_GB2312"/>
        </w:rPr>
        <w:t>境内属于本法所附《车船税税目税额表》规定的车辆、船舶（以下简称车船）的所有人或者管理人，为车船税的纳税人，应当依照本法缴纳车船税。</w:t>
      </w:r>
    </w:p>
    <w:p w14:paraId="4AE21243">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车船的适用税额依照本法所附《车船税税目税额表》执行。</w:t>
      </w:r>
    </w:p>
    <w:p w14:paraId="403E356D">
      <w:pPr>
        <w:ind w:firstLine="640"/>
        <w:rPr>
          <w:rFonts w:ascii="宋体" w:hAnsi="宋体" w:eastAsia="宋体" w:cs="宋体"/>
        </w:rPr>
      </w:pPr>
      <w:r>
        <w:rPr>
          <w:rFonts w:ascii="仿宋_GB2312" w:hAnsi="仿宋_GB2312" w:cs="仿宋_GB2312"/>
        </w:rPr>
        <w:t>车辆的具体适用税额由省、自治区、直辖市人民政府依照本法所附《车船税税目税额表》规定的税额幅度和国务院的规定确定。</w:t>
      </w:r>
    </w:p>
    <w:p w14:paraId="3D766810">
      <w:pPr>
        <w:ind w:firstLine="640"/>
        <w:rPr>
          <w:rFonts w:ascii="宋体" w:hAnsi="宋体" w:eastAsia="宋体" w:cs="宋体"/>
        </w:rPr>
      </w:pPr>
      <w:r>
        <w:rPr>
          <w:rFonts w:ascii="仿宋_GB2312" w:hAnsi="仿宋_GB2312" w:cs="仿宋_GB2312"/>
        </w:rPr>
        <w:t>船舶的具体适用税额由国务院在本法所附《车船税税目税额表》规定的税额幅度内确定。</w:t>
      </w:r>
    </w:p>
    <w:p w14:paraId="4F3F9A8F">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下列车船免征车船税：</w:t>
      </w:r>
    </w:p>
    <w:p w14:paraId="1F6E3617">
      <w:pPr>
        <w:ind w:firstLine="640"/>
        <w:rPr>
          <w:rFonts w:ascii="宋体" w:hAnsi="宋体" w:eastAsia="宋体" w:cs="宋体"/>
        </w:rPr>
      </w:pPr>
      <w:r>
        <w:rPr>
          <w:rFonts w:ascii="仿宋_GB2312" w:hAnsi="仿宋_GB2312" w:cs="仿宋_GB2312"/>
        </w:rPr>
        <w:t>（一）捕捞、养殖渔船；</w:t>
      </w:r>
    </w:p>
    <w:p w14:paraId="1122663B">
      <w:pPr>
        <w:ind w:firstLine="640"/>
        <w:rPr>
          <w:rFonts w:ascii="宋体" w:hAnsi="宋体" w:eastAsia="宋体" w:cs="宋体"/>
        </w:rPr>
      </w:pPr>
      <w:r>
        <w:rPr>
          <w:rFonts w:ascii="仿宋_GB2312" w:hAnsi="仿宋_GB2312" w:cs="仿宋_GB2312"/>
        </w:rPr>
        <w:t>（二）军队、武装警察部队专用的车船；</w:t>
      </w:r>
    </w:p>
    <w:p w14:paraId="7FF3ADBF">
      <w:pPr>
        <w:ind w:firstLine="640"/>
        <w:rPr>
          <w:rFonts w:ascii="宋体" w:hAnsi="宋体" w:eastAsia="宋体" w:cs="宋体"/>
        </w:rPr>
      </w:pPr>
      <w:r>
        <w:rPr>
          <w:rFonts w:ascii="仿宋_GB2312" w:hAnsi="仿宋_GB2312" w:cs="仿宋_GB2312"/>
        </w:rPr>
        <w:t>（三）警用车船；</w:t>
      </w:r>
    </w:p>
    <w:p w14:paraId="58684A5A">
      <w:pPr>
        <w:ind w:firstLine="640"/>
        <w:rPr>
          <w:rFonts w:ascii="宋体" w:hAnsi="宋体" w:eastAsia="宋体" w:cs="宋体"/>
        </w:rPr>
      </w:pPr>
      <w:r>
        <w:rPr>
          <w:rFonts w:ascii="仿宋_GB2312" w:hAnsi="仿宋_GB2312" w:cs="仿宋_GB2312"/>
        </w:rPr>
        <w:t>（四）悬挂应急救援专用号牌的国家综合性消防救援车辆和国家综合性消防救援专用船舶；</w:t>
      </w:r>
    </w:p>
    <w:p w14:paraId="7FC9D52D">
      <w:pPr>
        <w:ind w:firstLine="640"/>
        <w:rPr>
          <w:rFonts w:ascii="宋体" w:hAnsi="宋体" w:eastAsia="宋体" w:cs="宋体"/>
        </w:rPr>
      </w:pPr>
      <w:r>
        <w:rPr>
          <w:rFonts w:ascii="仿宋_GB2312" w:hAnsi="仿宋_GB2312" w:cs="仿宋_GB2312"/>
        </w:rPr>
        <w:t>（五）依照法律规定应当予以免税的外国驻华使领馆、国际组织驻华代表机构及其有关人员的车船。</w:t>
      </w:r>
    </w:p>
    <w:p w14:paraId="19B4ADD8">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对节约能源、使用新能源的车船可以减征或者免征车船税；对受严重自然灾害影响纳税困难以及有其他特殊原因确需减税、免税的，可以减征或者免征车船税。具体办法由国务院规定，并报全国人民代表大会常务委员会备案。</w:t>
      </w:r>
    </w:p>
    <w:p w14:paraId="026C2A1C">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省、自治区、直辖市人民政府根据当地实际情况，可以对公共交通车船，农村居民拥有并主要在农村地区使用的摩托车、三轮汽车和低速载货汽车定期减征或者免征车船税。</w:t>
      </w:r>
    </w:p>
    <w:p w14:paraId="761D161B">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从事机动车第三者责任强制保险业务的保险机构为机动车车船税的扣缴义务人，应当在收取保险费时依法代收车船税，并出具代收税款凭证。</w:t>
      </w:r>
    </w:p>
    <w:p w14:paraId="27B1961A">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车船税的纳税地点为车船的登记地或者车船税扣缴义务人所在地。依法不需要办理登记的车船，车船税的纳税地点为车船的所有人或者管理人所在地。</w:t>
      </w:r>
    </w:p>
    <w:p w14:paraId="7BBBF492">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车船税纳税义务发生时间为取得车船所有权或者管理权的当月。</w:t>
      </w:r>
    </w:p>
    <w:p w14:paraId="6C890BE1">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车船税按年申报缴纳。具体申报纳税期限由省、自治区、直辖市人民政府规定。</w:t>
      </w:r>
    </w:p>
    <w:p w14:paraId="56E6DC08">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公安、交通运输、农业、渔业等车船登记管理部门、船舶检验机构和车船税扣缴义务人的行业主管部门应当在提供车船有关信息等方面，协助税务机关加强车船税的征收管理。</w:t>
      </w:r>
    </w:p>
    <w:p w14:paraId="612F7667">
      <w:pPr>
        <w:ind w:firstLine="640"/>
        <w:rPr>
          <w:rFonts w:ascii="宋体" w:hAnsi="宋体" w:eastAsia="宋体" w:cs="宋体"/>
        </w:rPr>
      </w:pPr>
      <w:r>
        <w:rPr>
          <w:rFonts w:ascii="仿宋_GB2312" w:hAnsi="仿宋_GB2312" w:cs="仿宋_GB2312"/>
        </w:rPr>
        <w:t>车辆所有人或者管理人在申请办理车辆相关登记、定期检验手续时，应当向公安机关交通管理部门提交依法纳税或者免税证明。公安机关交通管理部门核查后办理相关手续。</w:t>
      </w:r>
    </w:p>
    <w:p w14:paraId="7F51221F">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车船税的征收管理，依照本法和《</w:t>
      </w:r>
      <w:r>
        <w:rPr>
          <w:rFonts w:hint="eastAsia" w:ascii="仿宋_GB2312" w:hAnsi="仿宋_GB2312" w:cs="仿宋_GB2312"/>
          <w:lang w:eastAsia="zh-CN"/>
        </w:rPr>
        <w:t>和平民主王国</w:t>
      </w:r>
      <w:r>
        <w:rPr>
          <w:rFonts w:ascii="仿宋_GB2312" w:hAnsi="仿宋_GB2312" w:cs="仿宋_GB2312"/>
        </w:rPr>
        <w:t>税收征收管理法》的规定执行。</w:t>
      </w:r>
    </w:p>
    <w:p w14:paraId="58DA2DFD">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国务院根据本法制定实施条例。</w:t>
      </w:r>
    </w:p>
    <w:p w14:paraId="506BB918">
      <w:pPr>
        <w:ind w:firstLine="640"/>
        <w:rPr>
          <w:rFonts w:ascii="仿宋_GB2312" w:hAnsi="仿宋_GB2312" w:cs="仿宋_GB2312"/>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本法自</w:t>
      </w:r>
      <w:r>
        <w:rPr>
          <w:rFonts w:hint="eastAsia" w:eastAsia="楷体_GB2312"/>
          <w:szCs w:val="32"/>
          <w:lang w:eastAsia="zh-CN"/>
        </w:rPr>
        <w:t>和平民主王国</w:t>
      </w:r>
      <w:r>
        <w:rPr>
          <w:rFonts w:hint="eastAsia" w:eastAsia="楷体_GB2312"/>
          <w:szCs w:val="32"/>
        </w:rPr>
        <w:t>建国之日起开始生效</w:t>
      </w:r>
      <w:r>
        <w:rPr>
          <w:rFonts w:ascii="仿宋_GB2312" w:hAnsi="仿宋_GB2312" w:cs="仿宋_GB2312"/>
        </w:rPr>
        <w:t>。</w:t>
      </w:r>
    </w:p>
    <w:p w14:paraId="30A02B51">
      <w:pPr>
        <w:ind w:firstLine="640"/>
        <w:rPr>
          <w:rFonts w:hint="eastAsia" w:ascii="黑体" w:hAnsi="黑体" w:eastAsia="黑体" w:cs="黑体"/>
          <w:lang w:val="en-US" w:eastAsia="zh-CN"/>
        </w:rPr>
      </w:pPr>
      <w:r>
        <w:rPr>
          <w:rFonts w:hint="eastAsia" w:ascii="黑体" w:hAnsi="黑体" w:eastAsia="黑体" w:cs="黑体"/>
          <w:lang w:val="en-US" w:eastAsia="zh-CN"/>
        </w:rPr>
        <w:t>附：</w:t>
      </w:r>
    </w:p>
    <w:p w14:paraId="3CE678F5">
      <w:pPr>
        <w:ind w:firstLine="640"/>
        <w:jc w:val="center"/>
        <w:rPr>
          <w:rFonts w:hint="eastAsia" w:ascii="仿宋_GB2312" w:hAnsi="仿宋_GB2312" w:cs="仿宋_GB2312"/>
          <w:lang w:val="en-US" w:eastAsia="zh-CN"/>
        </w:rPr>
      </w:pPr>
      <w:r>
        <w:rPr>
          <w:rFonts w:hint="eastAsia" w:ascii="仿宋_GB2312" w:hAnsi="仿宋_GB2312" w:cs="仿宋_GB2312"/>
          <w:spacing w:val="57"/>
          <w:lang w:val="en-US" w:eastAsia="zh-CN"/>
        </w:rPr>
        <w:t>车船税税目税额表</w:t>
      </w:r>
    </w:p>
    <w:p w14:paraId="6EAEBEE9">
      <w:pPr>
        <w:ind w:firstLine="640"/>
        <w:rPr>
          <w:rFonts w:ascii="仿宋_GB2312" w:hAnsi="仿宋_GB2312" w:cs="仿宋_GB2312"/>
        </w:rPr>
      </w:pPr>
    </w:p>
    <w:tbl>
      <w:tblPr>
        <w:tblStyle w:val="4"/>
        <w:tblpPr w:leftFromText="180" w:rightFromText="180" w:vertAnchor="page" w:horzAnchor="page" w:tblpX="1899" w:tblpY="9734"/>
        <w:tblOverlap w:val="never"/>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
        <w:gridCol w:w="2829"/>
        <w:gridCol w:w="1422"/>
        <w:gridCol w:w="1724"/>
        <w:gridCol w:w="1695"/>
      </w:tblGrid>
      <w:tr w14:paraId="34A5C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681"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17DC21F1">
            <w:pPr>
              <w:jc w:val="center"/>
              <w:rPr>
                <w:rFonts w:hint="eastAsia" w:ascii="仿宋" w:hAnsi="仿宋" w:eastAsia="仿宋" w:cs="仿宋"/>
                <w:sz w:val="21"/>
                <w:szCs w:val="21"/>
              </w:rPr>
            </w:pPr>
            <w:r>
              <w:rPr>
                <w:rFonts w:hint="eastAsia" w:ascii="仿宋" w:hAnsi="仿宋" w:eastAsia="仿宋" w:cs="仿宋"/>
                <w:spacing w:val="-1"/>
                <w:kern w:val="0"/>
                <w:sz w:val="21"/>
                <w:szCs w:val="21"/>
              </w:rPr>
              <w:t>税    目</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36F4D21B">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计税单位</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5AD8C14E">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年基准税额</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3C8F930A">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备  注</w:t>
            </w:r>
          </w:p>
        </w:tc>
      </w:tr>
      <w:tr w14:paraId="34CB3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95" w:hRule="atLeast"/>
          <w:jc w:val="center"/>
        </w:trPr>
        <w:tc>
          <w:tcPr>
            <w:tcW w:w="852" w:type="dxa"/>
            <w:vMerge w:val="restart"/>
            <w:tcBorders>
              <w:top w:val="single" w:color="auto" w:sz="6" w:space="0"/>
              <w:left w:val="single" w:color="auto" w:sz="6" w:space="0"/>
              <w:right w:val="single" w:color="auto" w:sz="6" w:space="0"/>
              <w:tl2br w:val="nil"/>
              <w:tr2bl w:val="nil"/>
            </w:tcBorders>
            <w:textDirection w:val="tbRlV"/>
            <w:vAlign w:val="center"/>
          </w:tcPr>
          <w:p w14:paraId="755EDA50">
            <w:pPr>
              <w:spacing w:beforeLines="0" w:afterLines="0"/>
              <w:ind w:left="-90" w:leftChars="0" w:right="113"/>
              <w:jc w:val="center"/>
              <w:rPr>
                <w:rFonts w:hint="eastAsia" w:ascii="仿宋" w:hAnsi="仿宋" w:eastAsia="仿宋" w:cs="仿宋"/>
                <w:sz w:val="21"/>
                <w:szCs w:val="21"/>
                <w:lang w:val="en-US" w:eastAsia="zh-CN"/>
              </w:rPr>
            </w:pPr>
          </w:p>
          <w:p w14:paraId="445282F2">
            <w:pPr>
              <w:spacing w:beforeLines="0" w:afterLines="0"/>
              <w:ind w:left="-90" w:leftChars="0" w:right="113"/>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容量（排气量）分档〕</w:t>
            </w:r>
          </w:p>
          <w:p w14:paraId="6A99C702">
            <w:pPr>
              <w:spacing w:beforeLines="0" w:afterLines="0"/>
              <w:ind w:left="-90" w:leftChars="0" w:right="113"/>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乘用车〔按发动机汽缸</w:t>
            </w:r>
          </w:p>
          <w:p w14:paraId="37949817">
            <w:pPr>
              <w:spacing w:beforeLines="0" w:afterLines="0"/>
              <w:ind w:left="-90" w:leftChars="0" w:right="113"/>
              <w:jc w:val="center"/>
              <w:rPr>
                <w:rFonts w:hint="eastAsia" w:ascii="仿宋" w:hAnsi="仿宋" w:eastAsia="仿宋" w:cs="仿宋"/>
                <w:sz w:val="21"/>
                <w:szCs w:val="21"/>
                <w:lang w:val="en-US" w:eastAsia="zh-CN"/>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59B322C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1．0升(含)以下的</w:t>
            </w:r>
          </w:p>
        </w:tc>
        <w:tc>
          <w:tcPr>
            <w:tcW w:w="1422" w:type="dxa"/>
            <w:vMerge w:val="restart"/>
            <w:tcBorders>
              <w:top w:val="single" w:color="auto" w:sz="6" w:space="0"/>
              <w:left w:val="single" w:color="auto" w:sz="6" w:space="0"/>
              <w:right w:val="single" w:color="auto" w:sz="6" w:space="0"/>
              <w:tl2br w:val="nil"/>
              <w:tr2bl w:val="nil"/>
            </w:tcBorders>
            <w:vAlign w:val="center"/>
          </w:tcPr>
          <w:p w14:paraId="0BA66697">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每辆</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79360908">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60元至360元</w:t>
            </w:r>
          </w:p>
        </w:tc>
        <w:tc>
          <w:tcPr>
            <w:tcW w:w="1695" w:type="dxa"/>
            <w:vMerge w:val="restart"/>
            <w:tcBorders>
              <w:top w:val="single" w:color="auto" w:sz="6" w:space="0"/>
              <w:left w:val="single" w:color="auto" w:sz="6" w:space="0"/>
              <w:right w:val="single" w:color="auto" w:sz="6" w:space="0"/>
              <w:tl2br w:val="nil"/>
              <w:tr2bl w:val="nil"/>
            </w:tcBorders>
            <w:vAlign w:val="center"/>
          </w:tcPr>
          <w:p w14:paraId="19EA2929">
            <w:pPr>
              <w:spacing w:beforeLines="0" w:afterLines="0"/>
              <w:ind w:left="-90"/>
              <w:jc w:val="both"/>
              <w:rPr>
                <w:rFonts w:hint="eastAsia" w:ascii="仿宋" w:hAnsi="仿宋" w:eastAsia="仿宋" w:cs="仿宋"/>
                <w:spacing w:val="-1"/>
                <w:kern w:val="0"/>
                <w:sz w:val="21"/>
                <w:szCs w:val="21"/>
              </w:rPr>
            </w:pPr>
          </w:p>
          <w:p w14:paraId="379D08A0">
            <w:pPr>
              <w:spacing w:beforeLines="0" w:afterLines="0"/>
              <w:ind w:left="-90"/>
              <w:jc w:val="both"/>
              <w:rPr>
                <w:rFonts w:hint="eastAsia" w:ascii="仿宋" w:hAnsi="仿宋" w:eastAsia="仿宋" w:cs="仿宋"/>
                <w:sz w:val="21"/>
                <w:szCs w:val="21"/>
              </w:rPr>
            </w:pPr>
            <w:r>
              <w:rPr>
                <w:rFonts w:hint="eastAsia" w:ascii="仿宋" w:hAnsi="仿宋" w:eastAsia="仿宋" w:cs="仿宋"/>
                <w:spacing w:val="-1"/>
                <w:kern w:val="0"/>
                <w:sz w:val="21"/>
                <w:szCs w:val="21"/>
              </w:rPr>
              <w:t>核定载客人数9人</w:t>
            </w:r>
            <w:r>
              <w:rPr>
                <w:rFonts w:hint="eastAsia" w:ascii="仿宋" w:hAnsi="仿宋" w:eastAsia="仿宋" w:cs="仿宋"/>
                <w:spacing w:val="-1"/>
                <w:kern w:val="0"/>
                <w:sz w:val="21"/>
                <w:szCs w:val="21"/>
                <w:lang w:eastAsia="zh-CN"/>
              </w:rPr>
              <w:t>（</w:t>
            </w:r>
            <w:r>
              <w:rPr>
                <w:rFonts w:hint="eastAsia" w:ascii="仿宋" w:hAnsi="仿宋" w:eastAsia="仿宋" w:cs="仿宋"/>
                <w:spacing w:val="-1"/>
                <w:kern w:val="0"/>
                <w:sz w:val="21"/>
                <w:szCs w:val="21"/>
              </w:rPr>
              <w:t>含</w:t>
            </w:r>
            <w:r>
              <w:rPr>
                <w:rFonts w:hint="eastAsia" w:ascii="仿宋" w:hAnsi="仿宋" w:eastAsia="仿宋" w:cs="仿宋"/>
                <w:spacing w:val="-1"/>
                <w:kern w:val="0"/>
                <w:sz w:val="21"/>
                <w:szCs w:val="21"/>
                <w:lang w:eastAsia="zh-CN"/>
              </w:rPr>
              <w:t>）</w:t>
            </w:r>
            <w:r>
              <w:rPr>
                <w:rFonts w:hint="eastAsia" w:ascii="仿宋" w:hAnsi="仿宋" w:eastAsia="仿宋" w:cs="仿宋"/>
                <w:spacing w:val="-1"/>
                <w:kern w:val="0"/>
                <w:sz w:val="21"/>
                <w:szCs w:val="21"/>
              </w:rPr>
              <w:t>以下</w:t>
            </w:r>
          </w:p>
        </w:tc>
      </w:tr>
      <w:tr w14:paraId="1CB70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6" w:hRule="atLeast"/>
          <w:jc w:val="center"/>
        </w:trPr>
        <w:tc>
          <w:tcPr>
            <w:tcW w:w="852" w:type="dxa"/>
            <w:vMerge w:val="continue"/>
            <w:tcBorders>
              <w:left w:val="single" w:color="auto" w:sz="6" w:space="0"/>
              <w:right w:val="single" w:color="auto" w:sz="6" w:space="0"/>
              <w:tl2br w:val="nil"/>
              <w:tr2bl w:val="nil"/>
            </w:tcBorders>
            <w:vAlign w:val="center"/>
          </w:tcPr>
          <w:p w14:paraId="18049C8E">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4298C991">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1．0升以上至1．6升(含)的</w:t>
            </w:r>
          </w:p>
        </w:tc>
        <w:tc>
          <w:tcPr>
            <w:tcW w:w="1422" w:type="dxa"/>
            <w:vMerge w:val="continue"/>
            <w:tcBorders>
              <w:left w:val="single" w:color="auto" w:sz="6" w:space="0"/>
              <w:right w:val="single" w:color="auto" w:sz="6" w:space="0"/>
              <w:tl2br w:val="nil"/>
              <w:tr2bl w:val="nil"/>
            </w:tcBorders>
            <w:vAlign w:val="center"/>
          </w:tcPr>
          <w:p w14:paraId="398B5005">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59AD16CB">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300元至540元</w:t>
            </w:r>
          </w:p>
        </w:tc>
        <w:tc>
          <w:tcPr>
            <w:tcW w:w="1695" w:type="dxa"/>
            <w:vMerge w:val="continue"/>
            <w:tcBorders>
              <w:left w:val="single" w:color="auto" w:sz="6" w:space="0"/>
              <w:right w:val="single" w:color="auto" w:sz="6" w:space="0"/>
              <w:tl2br w:val="nil"/>
              <w:tr2bl w:val="nil"/>
            </w:tcBorders>
            <w:vAlign w:val="center"/>
          </w:tcPr>
          <w:p w14:paraId="4E2FF54B">
            <w:pPr>
              <w:spacing w:beforeLines="0" w:afterLines="0"/>
              <w:ind w:left="-90"/>
              <w:jc w:val="both"/>
              <w:rPr>
                <w:rFonts w:hint="eastAsia" w:ascii="仿宋" w:hAnsi="仿宋" w:eastAsia="仿宋" w:cs="仿宋"/>
                <w:sz w:val="21"/>
                <w:szCs w:val="21"/>
              </w:rPr>
            </w:pPr>
          </w:p>
        </w:tc>
      </w:tr>
      <w:tr w14:paraId="54B7E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1" w:hRule="atLeast"/>
          <w:jc w:val="center"/>
        </w:trPr>
        <w:tc>
          <w:tcPr>
            <w:tcW w:w="852" w:type="dxa"/>
            <w:vMerge w:val="continue"/>
            <w:tcBorders>
              <w:left w:val="single" w:color="auto" w:sz="6" w:space="0"/>
              <w:right w:val="single" w:color="auto" w:sz="6" w:space="0"/>
              <w:tl2br w:val="nil"/>
              <w:tr2bl w:val="nil"/>
            </w:tcBorders>
            <w:vAlign w:val="center"/>
          </w:tcPr>
          <w:p w14:paraId="4439E06B">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38B22226">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1．6升以上至2．0升(含)的</w:t>
            </w:r>
          </w:p>
        </w:tc>
        <w:tc>
          <w:tcPr>
            <w:tcW w:w="1422" w:type="dxa"/>
            <w:vMerge w:val="continue"/>
            <w:tcBorders>
              <w:left w:val="single" w:color="auto" w:sz="6" w:space="0"/>
              <w:right w:val="single" w:color="auto" w:sz="6" w:space="0"/>
              <w:tl2br w:val="nil"/>
              <w:tr2bl w:val="nil"/>
            </w:tcBorders>
            <w:vAlign w:val="center"/>
          </w:tcPr>
          <w:p w14:paraId="2B564E0D">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6A1A0808">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360元至660元</w:t>
            </w:r>
          </w:p>
        </w:tc>
        <w:tc>
          <w:tcPr>
            <w:tcW w:w="1695" w:type="dxa"/>
            <w:vMerge w:val="continue"/>
            <w:tcBorders>
              <w:left w:val="single" w:color="auto" w:sz="6" w:space="0"/>
              <w:right w:val="single" w:color="auto" w:sz="6" w:space="0"/>
              <w:tl2br w:val="nil"/>
              <w:tr2bl w:val="nil"/>
            </w:tcBorders>
            <w:vAlign w:val="center"/>
          </w:tcPr>
          <w:p w14:paraId="0E4BFEC2">
            <w:pPr>
              <w:spacing w:beforeLines="0" w:afterLines="0"/>
              <w:ind w:left="-90"/>
              <w:jc w:val="both"/>
              <w:rPr>
                <w:rFonts w:hint="eastAsia" w:ascii="仿宋" w:hAnsi="仿宋" w:eastAsia="仿宋" w:cs="仿宋"/>
                <w:sz w:val="21"/>
                <w:szCs w:val="21"/>
              </w:rPr>
            </w:pPr>
          </w:p>
        </w:tc>
      </w:tr>
      <w:tr w14:paraId="28815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1" w:hRule="atLeast"/>
          <w:jc w:val="center"/>
        </w:trPr>
        <w:tc>
          <w:tcPr>
            <w:tcW w:w="852" w:type="dxa"/>
            <w:vMerge w:val="continue"/>
            <w:tcBorders>
              <w:left w:val="single" w:color="auto" w:sz="6" w:space="0"/>
              <w:right w:val="single" w:color="auto" w:sz="6" w:space="0"/>
              <w:tl2br w:val="nil"/>
              <w:tr2bl w:val="nil"/>
            </w:tcBorders>
            <w:vAlign w:val="center"/>
          </w:tcPr>
          <w:p w14:paraId="02E4BE45">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56678B5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2．0升以上至2．5升(含)的</w:t>
            </w:r>
          </w:p>
        </w:tc>
        <w:tc>
          <w:tcPr>
            <w:tcW w:w="1422" w:type="dxa"/>
            <w:vMerge w:val="continue"/>
            <w:tcBorders>
              <w:left w:val="single" w:color="auto" w:sz="6" w:space="0"/>
              <w:right w:val="single" w:color="auto" w:sz="6" w:space="0"/>
              <w:tl2br w:val="nil"/>
              <w:tr2bl w:val="nil"/>
            </w:tcBorders>
            <w:vAlign w:val="center"/>
          </w:tcPr>
          <w:p w14:paraId="450F8745">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252F5892">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660元至1200元</w:t>
            </w:r>
          </w:p>
        </w:tc>
        <w:tc>
          <w:tcPr>
            <w:tcW w:w="1695" w:type="dxa"/>
            <w:vMerge w:val="continue"/>
            <w:tcBorders>
              <w:left w:val="single" w:color="auto" w:sz="6" w:space="0"/>
              <w:right w:val="single" w:color="auto" w:sz="6" w:space="0"/>
              <w:tl2br w:val="nil"/>
              <w:tr2bl w:val="nil"/>
            </w:tcBorders>
            <w:vAlign w:val="center"/>
          </w:tcPr>
          <w:p w14:paraId="11CB81F9">
            <w:pPr>
              <w:spacing w:beforeLines="0" w:afterLines="0"/>
              <w:ind w:left="-90"/>
              <w:jc w:val="both"/>
              <w:rPr>
                <w:rFonts w:hint="eastAsia" w:ascii="仿宋" w:hAnsi="仿宋" w:eastAsia="仿宋" w:cs="仿宋"/>
                <w:sz w:val="21"/>
                <w:szCs w:val="21"/>
              </w:rPr>
            </w:pPr>
          </w:p>
        </w:tc>
      </w:tr>
      <w:tr w14:paraId="58DAA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6" w:hRule="atLeast"/>
          <w:jc w:val="center"/>
        </w:trPr>
        <w:tc>
          <w:tcPr>
            <w:tcW w:w="852" w:type="dxa"/>
            <w:vMerge w:val="continue"/>
            <w:tcBorders>
              <w:left w:val="single" w:color="auto" w:sz="6" w:space="0"/>
              <w:right w:val="single" w:color="auto" w:sz="6" w:space="0"/>
              <w:tl2br w:val="nil"/>
              <w:tr2bl w:val="nil"/>
            </w:tcBorders>
            <w:vAlign w:val="center"/>
          </w:tcPr>
          <w:p w14:paraId="59F78491">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1447C539">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2．5升以上至3．0升(含)的</w:t>
            </w:r>
          </w:p>
        </w:tc>
        <w:tc>
          <w:tcPr>
            <w:tcW w:w="1422" w:type="dxa"/>
            <w:vMerge w:val="continue"/>
            <w:tcBorders>
              <w:left w:val="single" w:color="auto" w:sz="6" w:space="0"/>
              <w:right w:val="single" w:color="auto" w:sz="6" w:space="0"/>
              <w:tl2br w:val="nil"/>
              <w:tr2bl w:val="nil"/>
            </w:tcBorders>
            <w:vAlign w:val="center"/>
          </w:tcPr>
          <w:p w14:paraId="05585115">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2DC2B7FE">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1200元至2400元</w:t>
            </w:r>
          </w:p>
        </w:tc>
        <w:tc>
          <w:tcPr>
            <w:tcW w:w="1695" w:type="dxa"/>
            <w:vMerge w:val="continue"/>
            <w:tcBorders>
              <w:left w:val="single" w:color="auto" w:sz="6" w:space="0"/>
              <w:right w:val="single" w:color="auto" w:sz="6" w:space="0"/>
              <w:tl2br w:val="nil"/>
              <w:tr2bl w:val="nil"/>
            </w:tcBorders>
            <w:vAlign w:val="center"/>
          </w:tcPr>
          <w:p w14:paraId="04AD477D">
            <w:pPr>
              <w:spacing w:beforeLines="0" w:afterLines="0"/>
              <w:ind w:left="-90"/>
              <w:jc w:val="both"/>
              <w:rPr>
                <w:rFonts w:hint="eastAsia" w:ascii="仿宋" w:hAnsi="仿宋" w:eastAsia="仿宋" w:cs="仿宋"/>
                <w:sz w:val="21"/>
                <w:szCs w:val="21"/>
              </w:rPr>
            </w:pPr>
          </w:p>
        </w:tc>
      </w:tr>
      <w:tr w14:paraId="142CB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1" w:hRule="atLeast"/>
          <w:jc w:val="center"/>
        </w:trPr>
        <w:tc>
          <w:tcPr>
            <w:tcW w:w="852" w:type="dxa"/>
            <w:vMerge w:val="continue"/>
            <w:tcBorders>
              <w:left w:val="single" w:color="auto" w:sz="6" w:space="0"/>
              <w:right w:val="single" w:color="auto" w:sz="6" w:space="0"/>
              <w:tl2br w:val="nil"/>
              <w:tr2bl w:val="nil"/>
            </w:tcBorders>
            <w:vAlign w:val="center"/>
          </w:tcPr>
          <w:p w14:paraId="091DD743">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6365E4B2">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3．0升以上至4．0升(含)的</w:t>
            </w:r>
          </w:p>
        </w:tc>
        <w:tc>
          <w:tcPr>
            <w:tcW w:w="1422" w:type="dxa"/>
            <w:vMerge w:val="continue"/>
            <w:tcBorders>
              <w:left w:val="single" w:color="auto" w:sz="6" w:space="0"/>
              <w:right w:val="single" w:color="auto" w:sz="6" w:space="0"/>
              <w:tl2br w:val="nil"/>
              <w:tr2bl w:val="nil"/>
            </w:tcBorders>
            <w:vAlign w:val="center"/>
          </w:tcPr>
          <w:p w14:paraId="4DCC5B1E">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4AAA5CB2">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2400元至3600元</w:t>
            </w:r>
          </w:p>
        </w:tc>
        <w:tc>
          <w:tcPr>
            <w:tcW w:w="1695" w:type="dxa"/>
            <w:vMerge w:val="continue"/>
            <w:tcBorders>
              <w:left w:val="single" w:color="auto" w:sz="6" w:space="0"/>
              <w:right w:val="single" w:color="auto" w:sz="6" w:space="0"/>
              <w:tl2br w:val="nil"/>
              <w:tr2bl w:val="nil"/>
            </w:tcBorders>
            <w:vAlign w:val="center"/>
          </w:tcPr>
          <w:p w14:paraId="004600DA">
            <w:pPr>
              <w:spacing w:beforeLines="0" w:afterLines="0"/>
              <w:ind w:left="-90"/>
              <w:jc w:val="both"/>
              <w:rPr>
                <w:rFonts w:hint="eastAsia" w:ascii="仿宋" w:hAnsi="仿宋" w:eastAsia="仿宋" w:cs="仿宋"/>
                <w:sz w:val="21"/>
                <w:szCs w:val="21"/>
              </w:rPr>
            </w:pPr>
          </w:p>
        </w:tc>
      </w:tr>
      <w:tr w14:paraId="7B57D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2" w:hRule="atLeast"/>
          <w:jc w:val="center"/>
        </w:trPr>
        <w:tc>
          <w:tcPr>
            <w:tcW w:w="852" w:type="dxa"/>
            <w:vMerge w:val="continue"/>
            <w:tcBorders>
              <w:left w:val="single" w:color="auto" w:sz="6" w:space="0"/>
              <w:bottom w:val="single" w:color="auto" w:sz="6" w:space="0"/>
              <w:right w:val="single" w:color="auto" w:sz="6" w:space="0"/>
              <w:tl2br w:val="nil"/>
              <w:tr2bl w:val="nil"/>
            </w:tcBorders>
            <w:vAlign w:val="center"/>
          </w:tcPr>
          <w:p w14:paraId="657453AC">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15832A1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4．0升以上的</w:t>
            </w:r>
          </w:p>
        </w:tc>
        <w:tc>
          <w:tcPr>
            <w:tcW w:w="1422" w:type="dxa"/>
            <w:vMerge w:val="continue"/>
            <w:tcBorders>
              <w:left w:val="single" w:color="auto" w:sz="6" w:space="0"/>
              <w:bottom w:val="single" w:color="auto" w:sz="6" w:space="0"/>
              <w:right w:val="single" w:color="auto" w:sz="6" w:space="0"/>
              <w:tl2br w:val="nil"/>
              <w:tr2bl w:val="nil"/>
            </w:tcBorders>
            <w:vAlign w:val="center"/>
          </w:tcPr>
          <w:p w14:paraId="2308B69B">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41D77E28">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3600元至5400元</w:t>
            </w:r>
          </w:p>
        </w:tc>
        <w:tc>
          <w:tcPr>
            <w:tcW w:w="1695" w:type="dxa"/>
            <w:vMerge w:val="continue"/>
            <w:tcBorders>
              <w:left w:val="single" w:color="auto" w:sz="6" w:space="0"/>
              <w:bottom w:val="single" w:color="auto" w:sz="6" w:space="0"/>
              <w:right w:val="single" w:color="auto" w:sz="6" w:space="0"/>
              <w:tl2br w:val="nil"/>
              <w:tr2bl w:val="nil"/>
            </w:tcBorders>
            <w:vAlign w:val="center"/>
          </w:tcPr>
          <w:p w14:paraId="063E650D">
            <w:pPr>
              <w:spacing w:beforeLines="0" w:afterLines="0"/>
              <w:ind w:left="-90"/>
              <w:jc w:val="both"/>
              <w:rPr>
                <w:rFonts w:hint="eastAsia" w:ascii="仿宋" w:hAnsi="仿宋" w:eastAsia="仿宋" w:cs="仿宋"/>
                <w:sz w:val="21"/>
                <w:szCs w:val="21"/>
              </w:rPr>
            </w:pPr>
          </w:p>
        </w:tc>
      </w:tr>
      <w:tr w14:paraId="38BF6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jc w:val="center"/>
        </w:trPr>
        <w:tc>
          <w:tcPr>
            <w:tcW w:w="852" w:type="dxa"/>
            <w:vMerge w:val="restart"/>
            <w:tcBorders>
              <w:top w:val="single" w:color="auto" w:sz="6" w:space="0"/>
              <w:left w:val="single" w:color="auto" w:sz="6" w:space="0"/>
              <w:right w:val="single" w:color="auto" w:sz="6" w:space="0"/>
              <w:tl2br w:val="nil"/>
              <w:tr2bl w:val="nil"/>
            </w:tcBorders>
            <w:vAlign w:val="center"/>
          </w:tcPr>
          <w:p w14:paraId="0748BB9C">
            <w:pPr>
              <w:spacing w:beforeLines="0" w:afterLines="0"/>
              <w:ind w:left="-9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商用车</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1DFBB6CA">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客车</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45EE48C1">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每辆</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6619854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480元至1440元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2BF275E8">
            <w:pPr>
              <w:spacing w:beforeLines="0" w:afterLines="0"/>
              <w:ind w:left="-9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核定载客人数9人以上，包括电车</w:t>
            </w:r>
          </w:p>
        </w:tc>
      </w:tr>
      <w:tr w14:paraId="29A81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7" w:hRule="atLeast"/>
          <w:jc w:val="center"/>
        </w:trPr>
        <w:tc>
          <w:tcPr>
            <w:tcW w:w="852" w:type="dxa"/>
            <w:vMerge w:val="continue"/>
            <w:tcBorders>
              <w:left w:val="single" w:color="auto" w:sz="6" w:space="0"/>
              <w:bottom w:val="single" w:color="auto" w:sz="6" w:space="0"/>
              <w:right w:val="single" w:color="auto" w:sz="6" w:space="0"/>
              <w:tl2br w:val="nil"/>
              <w:tr2bl w:val="nil"/>
            </w:tcBorders>
            <w:vAlign w:val="center"/>
          </w:tcPr>
          <w:p w14:paraId="4DE3E024">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26798B2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货车</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58324957">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整备质量每吨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239ADAE9">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16元至120元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72959585">
            <w:pPr>
              <w:spacing w:beforeLines="0" w:afterLines="0"/>
              <w:ind w:left="-9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包括半挂牵引车、三轮汽车和低速载货汽车等</w:t>
            </w:r>
          </w:p>
        </w:tc>
      </w:tr>
      <w:tr w14:paraId="168E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jc w:val="center"/>
        </w:trPr>
        <w:tc>
          <w:tcPr>
            <w:tcW w:w="852" w:type="dxa"/>
            <w:tcBorders>
              <w:top w:val="single" w:color="auto" w:sz="6" w:space="0"/>
              <w:left w:val="single" w:color="auto" w:sz="6" w:space="0"/>
              <w:bottom w:val="single" w:color="auto" w:sz="6" w:space="0"/>
              <w:right w:val="single" w:color="auto" w:sz="6" w:space="0"/>
              <w:tl2br w:val="nil"/>
              <w:tr2bl w:val="nil"/>
            </w:tcBorders>
            <w:vAlign w:val="center"/>
          </w:tcPr>
          <w:p w14:paraId="26116C4A">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挂车</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0D6FAFAC">
            <w:pPr>
              <w:spacing w:beforeLines="0" w:afterLines="0"/>
              <w:ind w:left="-90"/>
              <w:jc w:val="center"/>
              <w:rPr>
                <w:rFonts w:hint="eastAsia" w:ascii="仿宋" w:hAnsi="仿宋" w:eastAsia="仿宋" w:cs="仿宋"/>
                <w:sz w:val="21"/>
                <w:szCs w:val="21"/>
              </w:rPr>
            </w:pP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324A7EBB">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整备质量每吨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1F3BA5B2">
            <w:pPr>
              <w:spacing w:beforeLines="0" w:afterLines="0"/>
              <w:ind w:left="-90"/>
              <w:jc w:val="center"/>
              <w:rPr>
                <w:rFonts w:hint="eastAsia" w:ascii="仿宋" w:hAnsi="仿宋" w:eastAsia="仿宋" w:cs="仿宋"/>
                <w:spacing w:val="-1"/>
                <w:kern w:val="0"/>
                <w:sz w:val="21"/>
                <w:szCs w:val="21"/>
              </w:rPr>
            </w:pPr>
            <w:r>
              <w:rPr>
                <w:rFonts w:hint="eastAsia" w:ascii="仿宋" w:hAnsi="仿宋" w:eastAsia="仿宋" w:cs="仿宋"/>
                <w:spacing w:val="-1"/>
                <w:kern w:val="0"/>
                <w:sz w:val="21"/>
                <w:szCs w:val="21"/>
              </w:rPr>
              <w:t>按照货车税额的</w:t>
            </w:r>
          </w:p>
          <w:p w14:paraId="5413D090">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50％计算</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56556FCA">
            <w:pPr>
              <w:spacing w:beforeLines="0" w:afterLines="0"/>
              <w:ind w:left="-90"/>
              <w:jc w:val="both"/>
              <w:rPr>
                <w:rFonts w:hint="eastAsia" w:ascii="仿宋" w:hAnsi="仿宋" w:eastAsia="仿宋" w:cs="仿宋"/>
                <w:sz w:val="21"/>
                <w:szCs w:val="21"/>
              </w:rPr>
            </w:pPr>
          </w:p>
        </w:tc>
      </w:tr>
      <w:tr w14:paraId="63077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852" w:type="dxa"/>
            <w:vMerge w:val="restart"/>
            <w:tcBorders>
              <w:top w:val="single" w:color="auto" w:sz="6" w:space="0"/>
              <w:left w:val="single" w:color="auto" w:sz="6" w:space="0"/>
              <w:right w:val="single" w:color="auto" w:sz="6" w:space="0"/>
              <w:tl2br w:val="nil"/>
              <w:tr2bl w:val="nil"/>
            </w:tcBorders>
            <w:vAlign w:val="center"/>
          </w:tcPr>
          <w:p w14:paraId="22B8F681">
            <w:pPr>
              <w:spacing w:beforeLines="0" w:afterLines="0"/>
              <w:ind w:left="-90"/>
              <w:jc w:val="center"/>
              <w:rPr>
                <w:rFonts w:hint="eastAsia" w:ascii="仿宋" w:hAnsi="仿宋" w:eastAsia="仿宋" w:cs="仿宋"/>
                <w:spacing w:val="-1"/>
                <w:kern w:val="0"/>
                <w:sz w:val="21"/>
                <w:szCs w:val="21"/>
              </w:rPr>
            </w:pPr>
            <w:r>
              <w:rPr>
                <w:rFonts w:hint="eastAsia" w:ascii="仿宋" w:hAnsi="仿宋" w:eastAsia="仿宋" w:cs="仿宋"/>
                <w:spacing w:val="-1"/>
                <w:kern w:val="0"/>
                <w:sz w:val="21"/>
                <w:szCs w:val="21"/>
              </w:rPr>
              <w:t>其他</w:t>
            </w:r>
          </w:p>
          <w:p w14:paraId="01082DD1">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车辆</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37E4D9B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专用作业车</w:t>
            </w:r>
          </w:p>
        </w:tc>
        <w:tc>
          <w:tcPr>
            <w:tcW w:w="1422" w:type="dxa"/>
            <w:vMerge w:val="restart"/>
            <w:tcBorders>
              <w:top w:val="single" w:color="auto" w:sz="6" w:space="0"/>
              <w:left w:val="single" w:color="auto" w:sz="6" w:space="0"/>
              <w:bottom w:val="nil"/>
              <w:right w:val="single" w:color="auto" w:sz="6" w:space="0"/>
              <w:tl2br w:val="nil"/>
              <w:tr2bl w:val="nil"/>
            </w:tcBorders>
            <w:vAlign w:val="center"/>
          </w:tcPr>
          <w:p w14:paraId="12517877">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整备质量每吨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1897D01C">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16元至120元</w:t>
            </w:r>
          </w:p>
        </w:tc>
        <w:tc>
          <w:tcPr>
            <w:tcW w:w="1695" w:type="dxa"/>
            <w:vMerge w:val="restart"/>
            <w:tcBorders>
              <w:top w:val="single" w:color="auto" w:sz="6" w:space="0"/>
              <w:left w:val="single" w:color="auto" w:sz="6" w:space="0"/>
              <w:bottom w:val="nil"/>
              <w:right w:val="single" w:color="auto" w:sz="6" w:space="0"/>
              <w:tl2br w:val="nil"/>
              <w:tr2bl w:val="nil"/>
            </w:tcBorders>
            <w:vAlign w:val="center"/>
          </w:tcPr>
          <w:p w14:paraId="2D14D02A">
            <w:pPr>
              <w:spacing w:beforeLines="0" w:afterLines="0"/>
              <w:ind w:left="-90"/>
              <w:jc w:val="both"/>
              <w:rPr>
                <w:rFonts w:hint="eastAsia" w:ascii="仿宋" w:hAnsi="仿宋" w:eastAsia="仿宋" w:cs="仿宋"/>
                <w:spacing w:val="-1"/>
                <w:kern w:val="0"/>
                <w:sz w:val="21"/>
                <w:szCs w:val="21"/>
              </w:rPr>
            </w:pPr>
          </w:p>
          <w:p w14:paraId="2A1765D5">
            <w:pPr>
              <w:spacing w:beforeLines="0" w:afterLines="0"/>
              <w:ind w:left="-90"/>
              <w:jc w:val="both"/>
              <w:rPr>
                <w:rFonts w:hint="eastAsia" w:ascii="仿宋" w:hAnsi="仿宋" w:eastAsia="仿宋" w:cs="仿宋"/>
                <w:sz w:val="21"/>
                <w:szCs w:val="21"/>
              </w:rPr>
            </w:pPr>
            <w:r>
              <w:rPr>
                <w:rFonts w:hint="eastAsia" w:ascii="仿宋" w:hAnsi="仿宋" w:eastAsia="仿宋" w:cs="仿宋"/>
                <w:spacing w:val="-1"/>
                <w:kern w:val="0"/>
                <w:sz w:val="21"/>
                <w:szCs w:val="21"/>
              </w:rPr>
              <w:t>不包括拖拉机</w:t>
            </w:r>
          </w:p>
        </w:tc>
      </w:tr>
      <w:tr w14:paraId="2B20C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70" w:hRule="atLeast"/>
          <w:jc w:val="center"/>
        </w:trPr>
        <w:tc>
          <w:tcPr>
            <w:tcW w:w="852" w:type="dxa"/>
            <w:vMerge w:val="continue"/>
            <w:tcBorders>
              <w:left w:val="single" w:color="auto" w:sz="6" w:space="0"/>
              <w:bottom w:val="single" w:color="auto" w:sz="6" w:space="0"/>
              <w:right w:val="single" w:color="auto" w:sz="6" w:space="0"/>
              <w:tl2br w:val="nil"/>
              <w:tr2bl w:val="nil"/>
            </w:tcBorders>
            <w:vAlign w:val="center"/>
          </w:tcPr>
          <w:p w14:paraId="32565827">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46591B92">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轮式专用机械车</w:t>
            </w:r>
          </w:p>
        </w:tc>
        <w:tc>
          <w:tcPr>
            <w:tcW w:w="1422" w:type="dxa"/>
            <w:vMerge w:val="continue"/>
            <w:tcBorders>
              <w:top w:val="nil"/>
              <w:left w:val="single" w:color="auto" w:sz="6" w:space="0"/>
              <w:bottom w:val="single" w:color="auto" w:sz="6" w:space="0"/>
              <w:right w:val="single" w:color="auto" w:sz="6" w:space="0"/>
              <w:tl2br w:val="nil"/>
              <w:tr2bl w:val="nil"/>
            </w:tcBorders>
            <w:vAlign w:val="center"/>
          </w:tcPr>
          <w:p w14:paraId="79CC4438">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67ECBE41">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16元至120元</w:t>
            </w:r>
          </w:p>
        </w:tc>
        <w:tc>
          <w:tcPr>
            <w:tcW w:w="1695" w:type="dxa"/>
            <w:vMerge w:val="continue"/>
            <w:tcBorders>
              <w:top w:val="nil"/>
              <w:left w:val="single" w:color="auto" w:sz="6" w:space="0"/>
              <w:bottom w:val="single" w:color="auto" w:sz="6" w:space="0"/>
              <w:right w:val="single" w:color="auto" w:sz="6" w:space="0"/>
              <w:tl2br w:val="nil"/>
              <w:tr2bl w:val="nil"/>
            </w:tcBorders>
            <w:vAlign w:val="center"/>
          </w:tcPr>
          <w:p w14:paraId="611CDC18">
            <w:pPr>
              <w:spacing w:beforeLines="0" w:afterLines="0"/>
              <w:ind w:left="-90"/>
              <w:jc w:val="both"/>
              <w:rPr>
                <w:rFonts w:hint="eastAsia" w:ascii="仿宋" w:hAnsi="仿宋" w:eastAsia="仿宋" w:cs="仿宋"/>
                <w:sz w:val="21"/>
                <w:szCs w:val="21"/>
              </w:rPr>
            </w:pPr>
          </w:p>
        </w:tc>
      </w:tr>
      <w:tr w14:paraId="5ECC9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52" w:type="dxa"/>
            <w:tcBorders>
              <w:top w:val="single" w:color="auto" w:sz="6" w:space="0"/>
              <w:left w:val="single" w:color="auto" w:sz="6" w:space="0"/>
              <w:bottom w:val="single" w:color="auto" w:sz="6" w:space="0"/>
              <w:right w:val="single" w:color="auto" w:sz="6" w:space="0"/>
              <w:tl2br w:val="nil"/>
              <w:tr2bl w:val="nil"/>
            </w:tcBorders>
            <w:vAlign w:val="center"/>
          </w:tcPr>
          <w:p w14:paraId="570F1BE8">
            <w:pPr>
              <w:spacing w:beforeLines="0" w:afterLines="0"/>
              <w:ind w:left="-9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摩托车</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2BFE8691">
            <w:pPr>
              <w:spacing w:beforeLines="0" w:afterLines="0"/>
              <w:ind w:left="-90"/>
              <w:jc w:val="center"/>
              <w:rPr>
                <w:rFonts w:hint="eastAsia" w:ascii="仿宋" w:hAnsi="仿宋" w:eastAsia="仿宋" w:cs="仿宋"/>
                <w:sz w:val="21"/>
                <w:szCs w:val="21"/>
              </w:rPr>
            </w:pP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19CFC356">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每辆</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7CD640A0">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36元至180元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6FAE1C45">
            <w:pPr>
              <w:spacing w:beforeLines="0" w:afterLines="0"/>
              <w:ind w:left="-90"/>
              <w:jc w:val="both"/>
              <w:rPr>
                <w:rFonts w:hint="eastAsia" w:ascii="仿宋" w:hAnsi="仿宋" w:eastAsia="仿宋" w:cs="仿宋"/>
                <w:sz w:val="21"/>
                <w:szCs w:val="21"/>
              </w:rPr>
            </w:pPr>
          </w:p>
        </w:tc>
      </w:tr>
      <w:tr w14:paraId="3016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44" w:hRule="atLeast"/>
          <w:jc w:val="center"/>
        </w:trPr>
        <w:tc>
          <w:tcPr>
            <w:tcW w:w="852" w:type="dxa"/>
            <w:vMerge w:val="restart"/>
            <w:tcBorders>
              <w:top w:val="single" w:color="auto" w:sz="6" w:space="0"/>
              <w:left w:val="single" w:color="auto" w:sz="6" w:space="0"/>
              <w:bottom w:val="nil"/>
              <w:right w:val="single" w:color="auto" w:sz="6" w:space="0"/>
              <w:tl2br w:val="nil"/>
              <w:tr2bl w:val="nil"/>
            </w:tcBorders>
            <w:vAlign w:val="center"/>
          </w:tcPr>
          <w:p w14:paraId="13E98632">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船舶</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1CD7F28A">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机动船舶</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268B2977">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净吨位每吨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070951DD">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3元至6元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1BAEC922">
            <w:pPr>
              <w:spacing w:beforeLines="0" w:afterLines="0"/>
              <w:ind w:left="-90"/>
              <w:jc w:val="both"/>
              <w:rPr>
                <w:rFonts w:hint="eastAsia" w:ascii="仿宋" w:hAnsi="仿宋" w:eastAsia="仿宋" w:cs="仿宋"/>
                <w:sz w:val="21"/>
                <w:szCs w:val="21"/>
              </w:rPr>
            </w:pPr>
            <w:r>
              <w:rPr>
                <w:rFonts w:hint="eastAsia" w:ascii="仿宋" w:hAnsi="仿宋" w:eastAsia="仿宋" w:cs="仿宋"/>
                <w:spacing w:val="-1"/>
                <w:kern w:val="0"/>
                <w:sz w:val="21"/>
                <w:szCs w:val="21"/>
                <w:lang w:val="en-US" w:eastAsia="zh-CN"/>
              </w:rPr>
              <w:t>拖船、非机动驳船</w:t>
            </w:r>
            <w:r>
              <w:rPr>
                <w:rFonts w:hint="eastAsia" w:ascii="仿宋" w:hAnsi="仿宋" w:eastAsia="仿宋" w:cs="仿宋"/>
                <w:spacing w:val="-1"/>
                <w:kern w:val="0"/>
                <w:sz w:val="21"/>
                <w:szCs w:val="21"/>
              </w:rPr>
              <w:t>分别按照机动船舶税额的50％计算</w:t>
            </w:r>
          </w:p>
        </w:tc>
      </w:tr>
      <w:tr w14:paraId="56B32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39" w:hRule="atLeast"/>
          <w:jc w:val="center"/>
        </w:trPr>
        <w:tc>
          <w:tcPr>
            <w:tcW w:w="852" w:type="dxa"/>
            <w:vMerge w:val="continue"/>
            <w:tcBorders>
              <w:top w:val="nil"/>
              <w:left w:val="single" w:color="auto" w:sz="6" w:space="0"/>
              <w:bottom w:val="single" w:color="auto" w:sz="6" w:space="0"/>
              <w:right w:val="single" w:color="auto" w:sz="6" w:space="0"/>
              <w:tl2br w:val="nil"/>
              <w:tr2bl w:val="nil"/>
            </w:tcBorders>
            <w:vAlign w:val="center"/>
          </w:tcPr>
          <w:p w14:paraId="7BC9E9E1">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14:paraId="5DB82A80">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游艇</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14:paraId="1E747806">
            <w:pPr>
              <w:spacing w:beforeLines="0" w:afterLines="0"/>
              <w:ind w:left="-9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艇身长度每米</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14:paraId="0E9F9AD8">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600元至2000元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14:paraId="6D47415E">
            <w:pPr>
              <w:spacing w:beforeLines="0" w:afterLines="0"/>
              <w:ind w:left="-90"/>
              <w:jc w:val="both"/>
              <w:rPr>
                <w:rFonts w:hint="eastAsia" w:ascii="仿宋" w:hAnsi="仿宋" w:eastAsia="仿宋" w:cs="仿宋"/>
                <w:sz w:val="21"/>
                <w:szCs w:val="21"/>
              </w:rPr>
            </w:pPr>
          </w:p>
        </w:tc>
      </w:tr>
    </w:tbl>
    <w:p w14:paraId="0C431498">
      <w:pPr>
        <w:ind w:firstLine="640"/>
        <w:rPr>
          <w:rFonts w:hint="eastAsia" w:ascii="黑体" w:hAnsi="黑体" w:eastAsia="黑体" w:cs="黑体"/>
          <w:lang w:val="en-US" w:eastAsia="zh-CN"/>
        </w:rPr>
      </w:pPr>
    </w:p>
    <w:p w14:paraId="0B0A27CC">
      <w:pPr>
        <w:ind w:firstLine="640"/>
        <w:rPr>
          <w:rFonts w:hint="eastAsia" w:ascii="仿宋_GB2312" w:hAnsi="仿宋_GB2312" w:cs="仿宋_GB2312"/>
          <w:lang w:val="en-US" w:eastAsia="zh-CN"/>
        </w:rPr>
      </w:pPr>
    </w:p>
    <w:p w14:paraId="6F47EB52">
      <w:pPr>
        <w:ind w:firstLine="640"/>
        <w:rPr>
          <w:rFonts w:hint="eastAsia" w:ascii="仿宋_GB2312" w:hAnsi="仿宋_GB2312" w:cs="仿宋_GB2312"/>
          <w:lang w:val="en-US" w:eastAsia="zh-CN"/>
        </w:rPr>
      </w:pPr>
    </w:p>
    <w:p w14:paraId="13AC3A6F">
      <w:pPr>
        <w:rPr>
          <w:rFonts w:hint="eastAsia" w:ascii="仿宋_GB2312" w:hAnsi="仿宋_GB2312" w:cs="仿宋_GB2312"/>
          <w:lang w:val="en-US" w:eastAsia="zh-CN"/>
        </w:rPr>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43FFD">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D268D">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4F7C7A"/>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75EBA"/>
    <w:rsid w:val="009D4E62"/>
    <w:rsid w:val="00A07177"/>
    <w:rsid w:val="00A87604"/>
    <w:rsid w:val="00B12059"/>
    <w:rsid w:val="00B32293"/>
    <w:rsid w:val="00B66A39"/>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B820D1F"/>
    <w:rsid w:val="2FA5367D"/>
    <w:rsid w:val="3A0F3190"/>
    <w:rsid w:val="3F174B74"/>
    <w:rsid w:val="45CB1780"/>
    <w:rsid w:val="4EB57B9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08A17-B4E3-4E2A-AFC1-ECD8FCCFF3ED}">
  <ds:schemaRefs/>
</ds:datastoreItem>
</file>

<file path=docProps/app.xml><?xml version="1.0" encoding="utf-8"?>
<Properties xmlns="http://schemas.openxmlformats.org/officeDocument/2006/extended-properties" xmlns:vt="http://schemas.openxmlformats.org/officeDocument/2006/docPropsVTypes">
  <Template>Normal</Template>
  <Pages>4</Pages>
  <Words>170</Words>
  <Characters>971</Characters>
  <Lines>8</Lines>
  <Paragraphs>2</Paragraphs>
  <TotalTime>0</TotalTime>
  <ScaleCrop>false</ScaleCrop>
  <LinksUpToDate>false</LinksUpToDate>
  <CharactersWithSpaces>1139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2025-06-29T09:49:11Z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C739FFB0EDAC470DA8664D6A8206821B_12</vt:lpwstr>
  </property>
</Properties>
</file>