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0F0AC">
      <w:pPr>
        <w:pStyle w:val="3"/>
        <w:jc w:val="center"/>
        <w:rPr>
          <w:rFonts w:ascii="Times New Roman" w:hAnsi="Times New Roman" w:cs="Times New Roman"/>
          <w:sz w:val="44"/>
          <w:szCs w:val="44"/>
        </w:rPr>
      </w:pPr>
      <w:bookmarkStart w:id="0" w:name="_GoBack"/>
      <w:bookmarkEnd w:id="0"/>
    </w:p>
    <w:p w14:paraId="3310F395">
      <w:pPr>
        <w:pStyle w:val="3"/>
        <w:jc w:val="center"/>
        <w:rPr>
          <w:rFonts w:ascii="Times New Roman" w:hAnsi="Times New Roman" w:cs="Times New Roman"/>
          <w:sz w:val="44"/>
          <w:szCs w:val="44"/>
        </w:rPr>
      </w:pPr>
      <w:r>
        <w:rPr>
          <w:rFonts w:ascii="Times New Roman" w:hAnsi="Times New Roman" w:cs="Times New Roman"/>
          <w:sz w:val="44"/>
          <w:szCs w:val="44"/>
        </w:rPr>
        <w:t>上海航运交易所管理规定</w:t>
      </w:r>
    </w:p>
    <w:p w14:paraId="7B5F7892">
      <w:pPr>
        <w:pStyle w:val="3"/>
        <w:ind w:firstLine="640" w:firstLineChars="200"/>
        <w:rPr>
          <w:rFonts w:ascii="Times New Roman" w:hAnsi="Times New Roman" w:eastAsia="楷体_GB2312" w:cs="Times New Roman"/>
          <w:sz w:val="32"/>
          <w:szCs w:val="32"/>
        </w:rPr>
      </w:pPr>
    </w:p>
    <w:p w14:paraId="0F5B5EBF">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D859E30">
      <w:pPr>
        <w:pStyle w:val="2"/>
        <w:jc w:val="center"/>
        <w:rPr>
          <w:rFonts w:ascii="方正黑体_GBK" w:eastAsia="方正黑体_GBK"/>
        </w:rPr>
      </w:pPr>
      <w:r>
        <w:rPr>
          <w:rFonts w:hint="eastAsia" w:ascii="方正黑体_GBK" w:hAnsi="Times New Roman" w:eastAsia="方正黑体_GBK" w:cs="Times New Roman"/>
        </w:rPr>
        <w:t>第一章　总则</w:t>
      </w:r>
    </w:p>
    <w:p w14:paraId="6B0C937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为了加强对上海航运交易所的管理，维护航运交易秩序，促进水路货物运输业的发展，制定本规定。</w:t>
      </w:r>
    </w:p>
    <w:p w14:paraId="1BFB2D8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上海航运交易所(以下简称航运交易所)是不以营利为目的，为航运业务提供交易场所、设施、信息的事业法人。</w:t>
      </w:r>
    </w:p>
    <w:p w14:paraId="7D38B8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国务院交通主管部门和上海市人民政府，依照本规定对航运交易所进行管理和监督。</w:t>
      </w:r>
    </w:p>
    <w:p w14:paraId="20049D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航运交易所应当提供公开、公平、公正的交易环境和便利的交易条件，保证航运交易的正常进行。</w:t>
      </w:r>
    </w:p>
    <w:p w14:paraId="3F66CDAA">
      <w:pPr>
        <w:pStyle w:val="2"/>
        <w:jc w:val="center"/>
        <w:rPr>
          <w:rFonts w:ascii="方正黑体_GBK" w:eastAsia="方正黑体_GBK"/>
        </w:rPr>
      </w:pPr>
      <w:r>
        <w:rPr>
          <w:rFonts w:hint="eastAsia" w:ascii="方正黑体_GBK" w:hAnsi="Times New Roman" w:eastAsia="方正黑体_GBK" w:cs="Times New Roman"/>
        </w:rPr>
        <w:t>第二章　组织机构</w:t>
      </w:r>
    </w:p>
    <w:p w14:paraId="7248197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航运交易所实行理事会领导下的总裁负责制。</w:t>
      </w:r>
    </w:p>
    <w:p w14:paraId="70666EC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理事会是航运交易所的权力机构。</w:t>
      </w:r>
    </w:p>
    <w:p w14:paraId="2E0E3B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理事会由理事长一人、副理事长一至二人和理事五至七人组成，总人数为单数。理事会应当有二至三名会员理事。</w:t>
      </w:r>
    </w:p>
    <w:p w14:paraId="636C34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理事长、副理事长由上海市人民政府和国务院交通主管部门共同任命。理事由理事长提名，上海市人民政府批准。</w:t>
      </w:r>
    </w:p>
    <w:p w14:paraId="13C9A83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理事会行使下列职权：</w:t>
      </w:r>
    </w:p>
    <w:p w14:paraId="4055742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(一)制定航运交易所章程、交易规则及其他有关规定；</w:t>
      </w:r>
    </w:p>
    <w:p w14:paraId="2351C1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(二)审议航运交易所的工作计划和工作报告；</w:t>
      </w:r>
    </w:p>
    <w:p w14:paraId="352BE58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(三)决定、处理航运交易所运作中的重大问题；</w:t>
      </w:r>
    </w:p>
    <w:p w14:paraId="6D2FB0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(四)聘任、解聘航运交易所总裁、副总裁；</w:t>
      </w:r>
    </w:p>
    <w:p w14:paraId="5F1909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(五)决定取消会员资格。</w:t>
      </w:r>
    </w:p>
    <w:p w14:paraId="1F20C35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理事会会议由理事长召集；理事长因故不能召集会议时，由其指定的副理事长代为召集。</w:t>
      </w:r>
    </w:p>
    <w:p w14:paraId="6437A1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理事会会议的决议必须经理事会2/3以上成员表决同意。</w:t>
      </w:r>
    </w:p>
    <w:p w14:paraId="1ACB413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航运交易所设总裁一人、副总裁若干人。</w:t>
      </w:r>
    </w:p>
    <w:p w14:paraId="05DC2F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总裁由理事长从理事中提名，理事会聘任。副总裁由总裁提名，理事会聘任。</w:t>
      </w:r>
    </w:p>
    <w:p w14:paraId="216F78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总裁是航运交易所的法定代表人，主持航运交易所的日常工作，对理事会负责。</w:t>
      </w:r>
    </w:p>
    <w:p w14:paraId="6458F71B">
      <w:pPr>
        <w:pStyle w:val="2"/>
        <w:jc w:val="center"/>
        <w:rPr>
          <w:rFonts w:ascii="方正黑体_GBK" w:eastAsia="方正黑体_GBK"/>
        </w:rPr>
      </w:pPr>
      <w:r>
        <w:rPr>
          <w:rFonts w:hint="eastAsia" w:ascii="方正黑体_GBK" w:hAnsi="Times New Roman" w:eastAsia="方正黑体_GBK" w:cs="Times New Roman"/>
        </w:rPr>
        <w:t>第三章　会员</w:t>
      </w:r>
    </w:p>
    <w:p w14:paraId="4E7893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取得会员资格，应当具备下列条件：</w:t>
      </w:r>
    </w:p>
    <w:p w14:paraId="54230B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(一)具有中国法人资格的经营水路货物运输业务、水路货物运输代理业务、船舶代理业务和港口业务的企业及其他有关企业；</w:t>
      </w:r>
    </w:p>
    <w:p w14:paraId="1082144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(二)遵守航运交易所章程；</w:t>
      </w:r>
    </w:p>
    <w:p w14:paraId="1188813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(三)有良好的商业信誉。</w:t>
      </w:r>
    </w:p>
    <w:p w14:paraId="49C926F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外国企业申请取得会员资格的条件，由国务院交通主管部门另行规定。</w:t>
      </w:r>
    </w:p>
    <w:p w14:paraId="216ECFD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申请取得会员资格，应当经航运交易所审查批准，并按照航运交易所章程办理入会手续。</w:t>
      </w:r>
    </w:p>
    <w:p w14:paraId="385B9A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会员退会，应当按照航运交易所章程办理退会手续。</w:t>
      </w:r>
    </w:p>
    <w:p w14:paraId="6E316E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会员分为正式会员和临时会员。</w:t>
      </w:r>
    </w:p>
    <w:p w14:paraId="43E972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会员资格期限三个月以上的为正式会员，会员资格期限不超过三个月的为临时会员。</w:t>
      </w:r>
    </w:p>
    <w:p w14:paraId="0E400D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会员享有下列权利：</w:t>
      </w:r>
    </w:p>
    <w:p w14:paraId="3EFB90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(一)对航运交易所的工作提出批评和建议；</w:t>
      </w:r>
    </w:p>
    <w:p w14:paraId="1CF9387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(二)推荐会员理事和被推荐为会员理事；</w:t>
      </w:r>
    </w:p>
    <w:p w14:paraId="510C6E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(三)在场内进行交易；</w:t>
      </w:r>
    </w:p>
    <w:p w14:paraId="798D13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(四)使用航运交易所提供的设施；</w:t>
      </w:r>
    </w:p>
    <w:p w14:paraId="3DBC71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(五)获取航运交易所提供的信息。</w:t>
      </w:r>
    </w:p>
    <w:p w14:paraId="46E1C17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前款第(二)项规定不适用于临时会员。</w:t>
      </w:r>
    </w:p>
    <w:p w14:paraId="214362D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会员应当履行下列义务：</w:t>
      </w:r>
    </w:p>
    <w:p w14:paraId="67D379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(一)遵守航运交易所章程和交易规则；</w:t>
      </w:r>
    </w:p>
    <w:p w14:paraId="19A706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(二)按时缴纳会费；</w:t>
      </w:r>
    </w:p>
    <w:p w14:paraId="39A8E7D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(三)如实向航运交易所提供本企业与航运交易有关的价格及其他信息；</w:t>
      </w:r>
    </w:p>
    <w:p w14:paraId="0E7B7F9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(四)不得向新闻媒介及公众泄露或者传播从航运交易所获取的航运信息；</w:t>
      </w:r>
    </w:p>
    <w:p w14:paraId="2469796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(五)在航运交易中接受航运交易所的管理和监督。</w:t>
      </w:r>
    </w:p>
    <w:p w14:paraId="19AC4BB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前款第(三)项规定的信息，不包括会员的商业秘密。</w:t>
      </w:r>
    </w:p>
    <w:p w14:paraId="4CA26C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会员可以通过会员会议对航运交易所的工作提出批评和建议。</w:t>
      </w:r>
    </w:p>
    <w:p w14:paraId="2F8C08A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经2/3以上的会员提议，可以召开会员会议。</w:t>
      </w:r>
    </w:p>
    <w:p w14:paraId="456294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会员在航运交易所内从事交易的人员为出市代表，出市代表须经航运交易所培训。</w:t>
      </w:r>
    </w:p>
    <w:p w14:paraId="32CD9153">
      <w:pPr>
        <w:pStyle w:val="2"/>
        <w:jc w:val="center"/>
        <w:rPr>
          <w:rFonts w:ascii="方正黑体_GBK" w:eastAsia="方正黑体_GBK"/>
        </w:rPr>
      </w:pPr>
      <w:r>
        <w:rPr>
          <w:rFonts w:hint="eastAsia" w:ascii="方正黑体_GBK" w:hAnsi="Times New Roman" w:eastAsia="方正黑体_GBK" w:cs="Times New Roman"/>
        </w:rPr>
        <w:t>第四章　交易管理</w:t>
      </w:r>
    </w:p>
    <w:p w14:paraId="2DDE435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航运交易所的交易范围：</w:t>
      </w:r>
    </w:p>
    <w:p w14:paraId="45FB23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(一)水路货物运输；</w:t>
      </w:r>
    </w:p>
    <w:p w14:paraId="245443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(二)港口业务；</w:t>
      </w:r>
    </w:p>
    <w:p w14:paraId="25753B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(三)船舶租赁；</w:t>
      </w:r>
    </w:p>
    <w:p w14:paraId="2DCFCA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(四)船舶买卖；</w:t>
      </w:r>
    </w:p>
    <w:p w14:paraId="221ACD2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(五)国务院交通主管部门允许进场交易的其他航运业务。</w:t>
      </w:r>
    </w:p>
    <w:p w14:paraId="43D98A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会员的出市代表，只能代表本企业进行交易；但是，从事水路货物运输代理业务、船舶代理业务的会员除外。</w:t>
      </w:r>
    </w:p>
    <w:p w14:paraId="451030A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非会员企业可以委托从事水路货物运输代理或者船舶代理业务的会员代表本企业进场交易。</w:t>
      </w:r>
    </w:p>
    <w:p w14:paraId="368F35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会员不得有下列行为：</w:t>
      </w:r>
    </w:p>
    <w:p w14:paraId="3DB216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(一)利用内幕信息进行交易或者利用从航运交易所获取的信息进行场外交易；</w:t>
      </w:r>
    </w:p>
    <w:p w14:paraId="45072E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(二)制造或者散布虚假信息或者以其他手段扰乱交易秩序；</w:t>
      </w:r>
    </w:p>
    <w:p w14:paraId="6F0675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(三)超越经营范围交易；</w:t>
      </w:r>
    </w:p>
    <w:p w14:paraId="2540D2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(四)法律、法规禁止的其他行为。</w:t>
      </w:r>
    </w:p>
    <w:p w14:paraId="5DA418F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以竞价方式进行交易和以协商方式进行船舶买卖交易的，交易双方应当向航运交易所提供信用保证。</w:t>
      </w:r>
    </w:p>
    <w:p w14:paraId="20A00C4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从事国际班轮运输的会员应当将本企业的运价报航运交易所备案。</w:t>
      </w:r>
    </w:p>
    <w:p w14:paraId="35D836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交易双方成交后，应当向航运交易所缴纳手续费。</w:t>
      </w:r>
    </w:p>
    <w:p w14:paraId="4B0F421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手续费的标准由航运交易所提出方案，报上海市人民政府交通主管部门会同物价主管部门批准。</w:t>
      </w:r>
    </w:p>
    <w:p w14:paraId="2BB639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除国家另有规定外，航运交易所内的交易价格由交易双方自主决定。</w:t>
      </w:r>
    </w:p>
    <w:p w14:paraId="7768E0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航运交易所可以制定交易指导价格；在交易价格暴涨或者暴跌时，航运交易所可以限定最高价或者最低价，必要时可以宣布暂停交易。</w:t>
      </w:r>
    </w:p>
    <w:p w14:paraId="003C12A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航运交易所应当及时、准确地向会员发布航运交易信息。</w:t>
      </w:r>
    </w:p>
    <w:p w14:paraId="4F960CF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航运交易所工作人员应当廉洁自律、奉公守法，不得以任何方式从航运交易所会员或者其他有关单位获取利益，不得泄露内幕信息。</w:t>
      </w:r>
    </w:p>
    <w:p w14:paraId="679CA7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因突发事件导致航运交易所停市时，理事会应当及时向上海市人民政府和国务院交通主管部门报告。</w:t>
      </w:r>
    </w:p>
    <w:p w14:paraId="307E5B2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会员和出市代表违反本规定、航运交易所章程和交易规则的，航运交易所有权责令当事人停止违法行为，并可以视情节给予警告、暂停进场交易或者取消会员资格的处理。</w:t>
      </w:r>
    </w:p>
    <w:p w14:paraId="5C775687">
      <w:pPr>
        <w:pStyle w:val="2"/>
        <w:jc w:val="center"/>
        <w:rPr>
          <w:rFonts w:ascii="方正黑体_GBK" w:eastAsia="方正黑体_GBK"/>
        </w:rPr>
      </w:pPr>
      <w:r>
        <w:rPr>
          <w:rFonts w:hint="eastAsia" w:ascii="方正黑体_GBK" w:hAnsi="Times New Roman" w:eastAsia="方正黑体_GBK" w:cs="Times New Roman"/>
        </w:rPr>
        <w:t>第五章　争议处理与法律责任</w:t>
      </w:r>
    </w:p>
    <w:p w14:paraId="7DB03A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交易双方在交易过程中发生争议，可以自行协商解决或者申请航运交易所调解，也可以依照有关法律、行政法规的规定申请仲裁或者提起诉讼。</w:t>
      </w:r>
    </w:p>
    <w:p w14:paraId="3DA7015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会员有本规定第二十条第(一)、(二)项所列行为之一的，由上海市人民政府交通主管部门根据不同情况给予警告、没收违法所得；情节严重的，并处2万元以下的罚款。</w:t>
      </w:r>
    </w:p>
    <w:p w14:paraId="09DBAF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会员有本规定第二十条第(三)、(四)项所列行为之一的，由有关部门依照有关法律、法规予以处罚。</w:t>
      </w:r>
    </w:p>
    <w:p w14:paraId="722891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违反本规定第二十二条规定，不将运价报备案或者不执行报备案的运价的，由上海市人民政府交通主管部门根据情节给予警告、责令停开航线，处5万元以下的罚款。</w:t>
      </w:r>
    </w:p>
    <w:p w14:paraId="1E527B0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航运交易所违反本规定，接收不符合会员条件的企业入会的，随意开除会员的，或者明知会员超经营范围从事交易而不予制止的，由国务院交通主管部门给予警告；情节严重的，处2万元以下的罚款。</w:t>
      </w:r>
    </w:p>
    <w:p w14:paraId="42A5647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航运交易所违反本规定第十七条规定，擅自扩大交易范围的，由国务院交通主管部门给予警告；情节严重的，处5万元以下的罚款。</w:t>
      </w:r>
    </w:p>
    <w:p w14:paraId="1843EE5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航运交易所违反本规定第二十七条规定，停市时不报告的，由国务院交通主管部门处2万元以下的罚款。</w:t>
      </w:r>
    </w:p>
    <w:p w14:paraId="532EFBF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航运交易所违反本规定，给会员造成经济损失的，应当依法承担赔偿责任。</w:t>
      </w:r>
    </w:p>
    <w:p w14:paraId="6A8903DA">
      <w:pPr>
        <w:pStyle w:val="2"/>
        <w:jc w:val="center"/>
        <w:rPr>
          <w:rFonts w:ascii="方正黑体_GBK" w:eastAsia="方正黑体_GBK"/>
        </w:rPr>
      </w:pPr>
      <w:r>
        <w:rPr>
          <w:rFonts w:hint="eastAsia" w:ascii="方正黑体_GBK" w:hAnsi="Times New Roman" w:eastAsia="方正黑体_GBK" w:cs="Times New Roman"/>
        </w:rPr>
        <w:t>第六章　附则</w:t>
      </w:r>
    </w:p>
    <w:p w14:paraId="0266A223">
      <w:pPr>
        <w:ind w:firstLine="640" w:firstLineChars="200"/>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4933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1EE41AF">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529672A"/>
    <w:rsid w:val="00011573"/>
    <w:rsid w:val="001A17DB"/>
    <w:rsid w:val="008014F4"/>
    <w:rsid w:val="00AA289F"/>
    <w:rsid w:val="00B216A3"/>
    <w:rsid w:val="00B83811"/>
    <w:rsid w:val="073D3D7D"/>
    <w:rsid w:val="0FD743AE"/>
    <w:rsid w:val="1DB604E0"/>
    <w:rsid w:val="1DC62F6E"/>
    <w:rsid w:val="21373B70"/>
    <w:rsid w:val="22776348"/>
    <w:rsid w:val="24CE727D"/>
    <w:rsid w:val="30052E30"/>
    <w:rsid w:val="353372E3"/>
    <w:rsid w:val="37243D10"/>
    <w:rsid w:val="39E05651"/>
    <w:rsid w:val="3DE35857"/>
    <w:rsid w:val="4A7626FC"/>
    <w:rsid w:val="4B6E1872"/>
    <w:rsid w:val="5E8114AE"/>
    <w:rsid w:val="752967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406</Words>
  <Characters>2316</Characters>
  <Lines>19</Lines>
  <Paragraphs>5</Paragraphs>
  <TotalTime>0</TotalTime>
  <ScaleCrop>false</ScaleCrop>
  <LinksUpToDate>false</LinksUpToDate>
  <CharactersWithSpaces>2717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2019-05-22T15:10:00Z</dcterms:created>
  <dc:creator>Administrator</dc:creator>
  <cp:lastModifiedBy>拱酝爻涣和</cp:lastModifiedBy>
  <dcterms:modified xsi:type="dcterms:W3CDTF">2025-06-29T11:08:23Z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E6F3168AB7DA4A01B46FF5BC93B15C51_12</vt:lpwstr>
  </property>
</Properties>
</file>