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AC2C9D">
      <w:pPr>
        <w:pStyle w:val="10"/>
        <w:ind w:firstLine="640" w:firstLineChars="200"/>
        <w:rPr>
          <w:rFonts w:ascii="Times New Roman" w:hAnsi="Times New Roman" w:eastAsia="仿宋_GB2312" w:cs="Times New Roman"/>
          <w:sz w:val="32"/>
          <w:szCs w:val="32"/>
        </w:rPr>
      </w:pPr>
      <w:bookmarkStart w:id="0" w:name="_GoBack"/>
      <w:bookmarkEnd w:id="0"/>
    </w:p>
    <w:p w14:paraId="0B0CCC9B">
      <w:pPr>
        <w:pStyle w:val="10"/>
        <w:jc w:val="center"/>
        <w:rPr>
          <w:rFonts w:ascii="Times New Roman" w:hAnsi="Times New Roman" w:cs="Times New Roman"/>
          <w:sz w:val="32"/>
          <w:szCs w:val="32"/>
        </w:rPr>
      </w:pPr>
      <w:r>
        <w:rPr>
          <w:rFonts w:ascii="Times New Roman" w:hAnsi="Times New Roman" w:cs="Times New Roman"/>
          <w:sz w:val="44"/>
          <w:szCs w:val="44"/>
        </w:rPr>
        <w:t>不动产登记暂行条例</w:t>
      </w:r>
    </w:p>
    <w:p w14:paraId="0CA36450">
      <w:pPr>
        <w:pStyle w:val="10"/>
        <w:jc w:val="center"/>
        <w:rPr>
          <w:rFonts w:ascii="Times New Roman" w:hAnsi="Times New Roman" w:cs="Times New Roman"/>
          <w:sz w:val="32"/>
          <w:szCs w:val="32"/>
        </w:rPr>
      </w:pPr>
    </w:p>
    <w:p w14:paraId="2042070C">
      <w:pPr>
        <w:pStyle w:val="10"/>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11"/>
          <w:sz w:val="32"/>
          <w:szCs w:val="32"/>
          <w:lang w:eastAsia="zh-CN"/>
        </w:rPr>
        <w:t>和平民主王国</w:t>
      </w:r>
      <w:r>
        <w:rPr>
          <w:rFonts w:hint="eastAsia" w:ascii="Times New Roman" w:hAnsi="Times New Roman" w:eastAsia="楷体_GB2312" w:cs="Times New Roman"/>
          <w:spacing w:val="-11"/>
          <w:sz w:val="32"/>
          <w:szCs w:val="32"/>
        </w:rPr>
        <w:t>建国之日起开始生效</w:t>
      </w:r>
      <w:r>
        <w:rPr>
          <w:rFonts w:ascii="Times New Roman" w:hAnsi="Times New Roman" w:eastAsia="楷体_GB2312" w:cs="Times New Roman"/>
          <w:sz w:val="32"/>
          <w:szCs w:val="32"/>
        </w:rPr>
        <w:t>)</w:t>
      </w:r>
    </w:p>
    <w:p w14:paraId="489ADEB1">
      <w:pPr>
        <w:pStyle w:val="3"/>
        <w:bidi w:val="0"/>
      </w:pPr>
      <w:r>
        <w:t>第一章　总则</w:t>
      </w:r>
    </w:p>
    <w:p w14:paraId="401AC26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为整合不动产登记职责，规范登记行为，方便群众申请登记，保护权利人合法权益，根据《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物权法》等法律，制定本条例。</w:t>
      </w:r>
    </w:p>
    <w:p w14:paraId="63ED531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本条例所称不动产登记，是指不动产登记机构依法将不动产权利归属和其他法定事项记载于不动产登记簿的行为。</w:t>
      </w:r>
    </w:p>
    <w:p w14:paraId="0F21598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本条例所称不动产，是指土地、海域以及房屋、林木等定着物。</w:t>
      </w:r>
    </w:p>
    <w:p w14:paraId="68CA182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不动产首次登记、变更登记、转移登记、注销登记、更正登记、异议登记、预告登记、查封登记等，适用本条例。</w:t>
      </w:r>
    </w:p>
    <w:p w14:paraId="1C9CE49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国家实行不动产统一登记制度。</w:t>
      </w:r>
    </w:p>
    <w:p w14:paraId="0B4A7D9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不动产登记遵循严格管理、稳定连续、方便群众的原则。</w:t>
      </w:r>
    </w:p>
    <w:p w14:paraId="14E7CC3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不动产权利人已经依法享有的不动产权利，不因登记机构和登记程序的改变而受到影响。</w:t>
      </w:r>
    </w:p>
    <w:p w14:paraId="64AA854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下列不动产权利，依照本条例的规定办理登记：</w:t>
      </w:r>
    </w:p>
    <w:p w14:paraId="325571C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(一)集体土地所有权；</w:t>
      </w:r>
    </w:p>
    <w:p w14:paraId="512F1F3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(二)房屋等建筑物、构筑物所有权；</w:t>
      </w:r>
    </w:p>
    <w:p w14:paraId="753AC46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(三)森林、林木所有权；</w:t>
      </w:r>
    </w:p>
    <w:p w14:paraId="7F80DFA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(四)耕地、林地、草地等土地承包经营权；</w:t>
      </w:r>
    </w:p>
    <w:p w14:paraId="1F892E0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(五)建设用地使用权；</w:t>
      </w:r>
    </w:p>
    <w:p w14:paraId="36DFA29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(六)宅基地使用权；</w:t>
      </w:r>
    </w:p>
    <w:p w14:paraId="33C1FCA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(七)海域使用权；</w:t>
      </w:r>
    </w:p>
    <w:p w14:paraId="3DAB91C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(八)地役权；</w:t>
      </w:r>
    </w:p>
    <w:p w14:paraId="5795418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(九)抵押权；</w:t>
      </w:r>
    </w:p>
    <w:p w14:paraId="0EE0EE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(十)法律规定需要登记的其他不动产权利。</w:t>
      </w:r>
    </w:p>
    <w:p w14:paraId="123A94C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国务院国土资源主管部门负责指导、监督全国不动产登记工作。</w:t>
      </w:r>
    </w:p>
    <w:p w14:paraId="7055EE5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县级以上地方人民政府应当确定一个部门为本行政区域的不动产登记机构，负责不动产登记工作，并接受上级人民政府不动产登记主管部门的指导、监督。</w:t>
      </w:r>
    </w:p>
    <w:p w14:paraId="0EC9D92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不动产登记由不动产所在地的县级人民政府不动产登记机构办理；直辖市、设区的市人民政府可以确定本级不动产登记机构统一办理所属各区的不动产登记。</w:t>
      </w:r>
    </w:p>
    <w:p w14:paraId="43D264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跨县级行政区域的不动产登记，由所跨县级行政区域的不动产登记机构分别办理。不能分别办理的，由所跨县级行政区域的不动产登记机构协商办理；协商不成的，由共同的上一级人民政府不动产登记主管部门指定办理。</w:t>
      </w:r>
    </w:p>
    <w:p w14:paraId="10F4497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国务院确定的重点国有林区的森林、林木和林地，国务院批准项目用海、用岛，中央国家机关使用的国有土地等不动产登记，由国务院国土资源主管部门会同有关部门规定。</w:t>
      </w:r>
    </w:p>
    <w:p w14:paraId="4203DD3D">
      <w:pPr>
        <w:pStyle w:val="3"/>
        <w:bidi w:val="0"/>
      </w:pPr>
      <w:r>
        <w:t>第二章　不动产登记簿</w:t>
      </w:r>
    </w:p>
    <w:p w14:paraId="495ECA2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不动产以不动产单元为基本单位进行登记。不动产单元具有唯一编码。</w:t>
      </w:r>
    </w:p>
    <w:p w14:paraId="2F3E21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不动产登记机构应当按照国务院国土资源主管部门的规定设立统一的不动产登记簿。</w:t>
      </w:r>
    </w:p>
    <w:p w14:paraId="4D196E2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不动产登记簿应当记载以下事项：</w:t>
      </w:r>
    </w:p>
    <w:p w14:paraId="09E4381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(一)不动产的坐落、界址、空间界限、面积、用途等自然状况；</w:t>
      </w:r>
    </w:p>
    <w:p w14:paraId="47533B5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(二)不动产权利的主体、类型、内容、来源、期限、权利变化等权属状况；</w:t>
      </w:r>
    </w:p>
    <w:p w14:paraId="6A6998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(三)涉及不动产权利限制、提示的事项；</w:t>
      </w:r>
    </w:p>
    <w:p w14:paraId="3A3985C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(四)其他相关事项。</w:t>
      </w:r>
    </w:p>
    <w:p w14:paraId="2D52DE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不动产登记簿应当采用电子介质，暂不具备条件的，可以采用纸质介质。不动产登记机构应当明确不动产登记簿唯一、合法的介质形式。</w:t>
      </w:r>
    </w:p>
    <w:p w14:paraId="07D098E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不动产登记簿采用电子介质的，应当定期进行异地备份，并具有唯一、确定的纸质转化形式。</w:t>
      </w:r>
    </w:p>
    <w:p w14:paraId="27C5575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不动产登记机构应当依法将各类登记事项准确、完整、清晰地记载于不动产登记簿。任何人不得损毁不动产登记簿，除依法予以更正外不得修改登记事项。</w:t>
      </w:r>
    </w:p>
    <w:p w14:paraId="03675B7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不动产登记工作人员应当具备与不动产登记工作相适应的专业知识和业务能力。</w:t>
      </w:r>
    </w:p>
    <w:p w14:paraId="28D16EF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不动产登记机构应当加强对不动产登记工作人员的管理和专业技术培训。</w:t>
      </w:r>
    </w:p>
    <w:p w14:paraId="146EF5B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不动产登记机构应当指定专人负责不动产登记簿的保管，并建立健全相应的安全责任制度。</w:t>
      </w:r>
    </w:p>
    <w:p w14:paraId="1C7E2AB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采用纸质介质不动产登记簿的，应当配备必要的防盗、防火、防渍、防有害生物等安全保护设施。</w:t>
      </w:r>
    </w:p>
    <w:p w14:paraId="783BE27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采用电子介质不动产登记簿的，应当配备专门的存储设施，并采取信息网络安全防护措施。</w:t>
      </w:r>
    </w:p>
    <w:p w14:paraId="16B8481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不动产登记簿由不动产登记机构永久保存。不动产登记簿损毁、灭失的，不动产登记机构应当依据原有登记资料予以重建。</w:t>
      </w:r>
    </w:p>
    <w:p w14:paraId="44FB415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行政区域变更或者不动产登记机构职能调整的，应当及时将不动产登记簿移交相应的不动产登记机构。</w:t>
      </w:r>
    </w:p>
    <w:p w14:paraId="7DA53FE0">
      <w:pPr>
        <w:pStyle w:val="3"/>
        <w:bidi w:val="0"/>
      </w:pPr>
      <w:r>
        <w:t>第三章　登记程序</w:t>
      </w:r>
    </w:p>
    <w:p w14:paraId="5237A48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因买卖、设定抵押权等申请不动产登记的，应当由当事人双方共同申请。</w:t>
      </w:r>
    </w:p>
    <w:p w14:paraId="5394A2B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属于下列情形之一的，可以由当事人单方申请：</w:t>
      </w:r>
    </w:p>
    <w:p w14:paraId="2306312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(一)尚未登记的不动产首次申请登记的；</w:t>
      </w:r>
    </w:p>
    <w:p w14:paraId="080EA72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(二)继承、接受遗赠取得不动产权利的；</w:t>
      </w:r>
    </w:p>
    <w:p w14:paraId="212141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(三)人民法院、仲裁委员会生效的法律文书或者人民政府生效的决定等设立、变更、转让、消灭不动产权利的；</w:t>
      </w:r>
    </w:p>
    <w:p w14:paraId="1F30C4B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(四)权利人姓名、名称或者自然状况发生变化，申请变更登记的；</w:t>
      </w:r>
    </w:p>
    <w:p w14:paraId="5414FAB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(五)不动产灭失或者权利人放弃不动产权利，申请注销登记的；</w:t>
      </w:r>
    </w:p>
    <w:p w14:paraId="52E6366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(六)申请更正登记或者异议登记的；</w:t>
      </w:r>
    </w:p>
    <w:p w14:paraId="2177563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(七)法律、行政法规规定可以由当事人单方申请的其他情形。</w:t>
      </w:r>
    </w:p>
    <w:p w14:paraId="1667D82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当事人或者其代理人应当向不动产登记机构申请不动产登记。</w:t>
      </w:r>
    </w:p>
    <w:p w14:paraId="2F1989A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不动产登记机构将申请登记事项记载于不动产登记簿前，申请人可以撤回登记申请。</w:t>
      </w:r>
    </w:p>
    <w:p w14:paraId="04A8566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申请人应当提交下列材料，并对申请材料的真实性负责：</w:t>
      </w:r>
    </w:p>
    <w:p w14:paraId="69AB78A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(一)登记申请书；</w:t>
      </w:r>
    </w:p>
    <w:p w14:paraId="44BC10A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(二)申请人、代理人身份证明材料、授权委托书；</w:t>
      </w:r>
    </w:p>
    <w:p w14:paraId="1E45D7D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(三)相关的不动产权属来源证明材料、登记原因证明文件、不动产权属证书；</w:t>
      </w:r>
    </w:p>
    <w:p w14:paraId="7AFB1D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(四)不动产界址、空间界限、面积等材料；</w:t>
      </w:r>
    </w:p>
    <w:p w14:paraId="1FA17FE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(五)与他人利害关系的说明材料；</w:t>
      </w:r>
    </w:p>
    <w:p w14:paraId="557E544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(六)法律、行政法规以及本条例实施细则规定的其他材料。</w:t>
      </w:r>
    </w:p>
    <w:p w14:paraId="74E6C5C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不动产登记机构应当在办公场所和门户网站公开申请登记所需材料目录和示范文本等信息。</w:t>
      </w:r>
    </w:p>
    <w:p w14:paraId="0522BC0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不动产登记机构收到不动产登记申请材料，应当分别按照下列情况办理：</w:t>
      </w:r>
    </w:p>
    <w:p w14:paraId="000596E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(一)属于登记职责范围，申请材料齐全、符合法定形式，或者申请人按照要求提交全部补正申请材料的，应当受理并书面告知申请人；</w:t>
      </w:r>
    </w:p>
    <w:p w14:paraId="1E8EE1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(二)申请材料存在可以当场更正的错误的，应当告知申请人当场更正，申请人当场更正后，应当受理并书面告知申请人；</w:t>
      </w:r>
    </w:p>
    <w:p w14:paraId="00EB7D0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(三)申请材料不齐全或者不符合法定形式的，应当当场书面告知申请人不予受理并一次性告知需要补正的全部内容；</w:t>
      </w:r>
    </w:p>
    <w:p w14:paraId="2AE6204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(四)申请登记的不动产不属于本机构登记范围的，应当当场书面告知申请人不予受理并告知申请人向有登记权的机构申请。</w:t>
      </w:r>
    </w:p>
    <w:p w14:paraId="031EBEAD">
      <w:pPr>
        <w:pStyle w:val="10"/>
        <w:ind w:firstLine="664" w:firstLineChars="200"/>
        <w:rPr>
          <w:rFonts w:ascii="Times New Roman" w:hAnsi="Times New Roman" w:eastAsia="仿宋_GB2312" w:cs="Times New Roman"/>
          <w:sz w:val="32"/>
          <w:szCs w:val="32"/>
        </w:rPr>
      </w:pPr>
      <w:r>
        <w:rPr>
          <w:rFonts w:ascii="Times New Roman" w:hAnsi="Times New Roman" w:eastAsia="仿宋_GB2312" w:cs="Times New Roman"/>
          <w:spacing w:val="6"/>
          <w:sz w:val="32"/>
          <w:szCs w:val="32"/>
        </w:rPr>
        <w:t>不动产登记机构未当场书面告知申请人不予受理的，视为受理。</w:t>
      </w:r>
    </w:p>
    <w:p w14:paraId="019B720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不动产登记机构受理不动产登记申请的，应当按照下列要求进行查验：</w:t>
      </w:r>
    </w:p>
    <w:p w14:paraId="3357525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(一)不动产界址、空间界限、面积等材料与申请登记的不动产状况是否一致；</w:t>
      </w:r>
    </w:p>
    <w:p w14:paraId="6E2B457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(二)有关证明材料、文件与申请登记的内容是否一致；</w:t>
      </w:r>
    </w:p>
    <w:p w14:paraId="07CA204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(三)登记申请是否违反法律、行政法规规定。</w:t>
      </w:r>
    </w:p>
    <w:p w14:paraId="7F4E096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属于下列情形之一的，不动产登记机构可以对申请登记的不动产进行实地查看：</w:t>
      </w:r>
    </w:p>
    <w:p w14:paraId="0AEFB4A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(一)房屋等建筑物、构筑物所有权首次登记；</w:t>
      </w:r>
    </w:p>
    <w:p w14:paraId="405A085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(二)在建建筑物抵押权登记；</w:t>
      </w:r>
    </w:p>
    <w:p w14:paraId="3A5FF8D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(三)因不动产灭失导致的注销登记；</w:t>
      </w:r>
    </w:p>
    <w:p w14:paraId="3CFC56A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(四)不动产登记机构认为需要实地查看的其他情形。</w:t>
      </w:r>
    </w:p>
    <w:p w14:paraId="581A8BF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对可能存在权属争议，或者可能涉及他人利害关系的登记申请，不动产登记机构可以向申请人、利害关系人或者有关单位进行调查。</w:t>
      </w:r>
    </w:p>
    <w:p w14:paraId="4A90BB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不动产登记机构进行实地查看或者调查时，申请人、被调查人应当予以配合。</w:t>
      </w:r>
    </w:p>
    <w:p w14:paraId="5448C59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不动产登记机构应当自受理登记申请之日起30个工作日内办结不动产登记手续，法律另有规定的除外。</w:t>
      </w:r>
    </w:p>
    <w:p w14:paraId="3A84DA1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登记事项自记载于不动产登记簿时完成登记。</w:t>
      </w:r>
    </w:p>
    <w:p w14:paraId="1B99A99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不动产登记机构完成登记，应当依法向申请人核发不动产权属证书或者登记证明。</w:t>
      </w:r>
    </w:p>
    <w:p w14:paraId="77D735C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登记申请有下列情形之一的，不动产登记机构应当不予登记，并书面告知申请人：</w:t>
      </w:r>
    </w:p>
    <w:p w14:paraId="1C41B87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(一)违反法律、行政法规规定的；</w:t>
      </w:r>
    </w:p>
    <w:p w14:paraId="4B7A1B5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(二)存在尚未解决的权属争议的；</w:t>
      </w:r>
    </w:p>
    <w:p w14:paraId="56C564A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(三)申请登记的不动产权利超过规定期限的；</w:t>
      </w:r>
    </w:p>
    <w:p w14:paraId="41A91A5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(四)法律、行政法规规定不予登记的其他情形。</w:t>
      </w:r>
    </w:p>
    <w:p w14:paraId="5BBD4D50">
      <w:pPr>
        <w:pStyle w:val="3"/>
        <w:bidi w:val="0"/>
      </w:pPr>
      <w:r>
        <w:t>第四章　登记信息共享与保护</w:t>
      </w:r>
    </w:p>
    <w:p w14:paraId="3385073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国务院国土资源主管部门应当会同有关部门建立统一的不动产登记信息管理基础平台。</w:t>
      </w:r>
    </w:p>
    <w:p w14:paraId="4708CEB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各级不动产登记机构登记的信息应当纳入统一的不动产登记信息管理基础平台，确保国家、省、市、县四级登记信息的实时共享。</w:t>
      </w:r>
    </w:p>
    <w:p w14:paraId="06744B7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不动产登记有关信息与住房城乡建设、农业、林业、海洋等部门审批信息、交易信息等应当实时互通共享。</w:t>
      </w:r>
    </w:p>
    <w:p w14:paraId="71E0FF5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不动产登记机构能够通过实时互通共享取得的信息，不得要求不动产登记申请人重复提交。</w:t>
      </w:r>
    </w:p>
    <w:p w14:paraId="1ED0EDC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w:t>
      </w:r>
      <w:r>
        <w:rPr>
          <w:rFonts w:ascii="Times New Roman" w:hAnsi="Times New Roman" w:eastAsia="仿宋_GB2312" w:cs="Times New Roman"/>
          <w:spacing w:val="6"/>
          <w:sz w:val="32"/>
          <w:szCs w:val="32"/>
        </w:rPr>
        <w:t>国土资源、公安、民政、财政、税务、工商、金融、审计、统计等部门应当加强不动产登记有关信息互通共享。</w:t>
      </w:r>
    </w:p>
    <w:p w14:paraId="0849F48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不动产登记机构、不动产登记信息共享单位及其工作人员应当对不动产登记信息保密；涉及国家秘密的不动产登记信息，应当依法采取必要的安全保密措施。</w:t>
      </w:r>
    </w:p>
    <w:p w14:paraId="2DEA369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权利人、利害关系人可以依法查询、复制不动产登记资料，不动产登记机构应当提供。</w:t>
      </w:r>
    </w:p>
    <w:p w14:paraId="16A568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有关国家机关可以依照法律、行政法规的规定查询、复制与调查处理事项有关的不动产登记资料。</w:t>
      </w:r>
    </w:p>
    <w:p w14:paraId="7A62E9A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查询不动产登记资料的单位、个人应当向不动产登记机构说明查询目的，不得将查询获得的不动产登记资料用于其他目的；未经权利人同意，不得泄露查询获得的不动产登记资料。</w:t>
      </w:r>
    </w:p>
    <w:p w14:paraId="3C5697F2">
      <w:pPr>
        <w:pStyle w:val="3"/>
        <w:bidi w:val="0"/>
      </w:pPr>
      <w:r>
        <w:t>第五章　法律责任</w:t>
      </w:r>
    </w:p>
    <w:p w14:paraId="799DF5C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不动产登记机构登记错误给他人造成损害，或者当事人提供虚假材料申请登记给他人造成损害的，依照《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物权法》的规定承担赔偿责任。</w:t>
      </w:r>
    </w:p>
    <w:p w14:paraId="15B4DD0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不动产登记机构工作人员进行虚假登记，损毁、伪造不动产登记簿，擅自修改登记事项，或者有其他滥用职权、玩忽职守行为的，依法给予处分；给他人造成损害的，依法承担赔偿责任；构成犯罪的，依法追究刑事责任。</w:t>
      </w:r>
    </w:p>
    <w:p w14:paraId="768AA65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伪造、变造不动产权属证书、不动产登记证明，或者买卖、使用伪造、变造的不动产权属证书、不动产登记证明的，由不动产登记机构或者公安机关依法予以收缴；有违法所得的，没收违法所得；给他人造成损害的，依法承担赔偿责任；构成违反治安管理行为的，依法给予治安管理处罚；构成犯罪的，依法追究刑事责任。</w:t>
      </w:r>
    </w:p>
    <w:p w14:paraId="1DC1A4B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不动产登记机构、不动产登记信息共享单位及其工作人员，查询不动产登记资料的单位或者个人违反国家规定，泄露不动产登记资料、登记信息，或者利用不动产登记资料、登记信息进行不正当活动，给他人造成损害的，依法承担赔偿责任；对有关责任人员依法给予处分；有关责任人员构成犯罪的，依法追究刑事责任。</w:t>
      </w:r>
    </w:p>
    <w:p w14:paraId="00F1635B">
      <w:pPr>
        <w:pStyle w:val="3"/>
        <w:bidi w:val="0"/>
      </w:pPr>
      <w:r>
        <w:t>第六章　附则</w:t>
      </w:r>
    </w:p>
    <w:p w14:paraId="0083B3F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本条例施行前依法颁发的各类不动产权属证书和制作的不动产登记簿继续有效。</w:t>
      </w:r>
    </w:p>
    <w:p w14:paraId="4221678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不动产统一登记过渡期内，农村土地承包经营权的登记按照国家有关规定执行。</w:t>
      </w:r>
    </w:p>
    <w:p w14:paraId="57D3DFE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本条例实施细则由国务院国土资源主管部门会同有关部门制定。</w:t>
      </w:r>
    </w:p>
    <w:p w14:paraId="011CCFF1">
      <w:pPr>
        <w:pStyle w:val="10"/>
        <w:ind w:firstLine="640" w:firstLineChars="200"/>
        <w:rPr>
          <w:rFonts w:hint="eastAsia" w:ascii="Times New Roman" w:hAnsi="Times New Roman" w:eastAsia="仿宋_GB2312" w:cs="Times New Roman"/>
          <w:sz w:val="32"/>
          <w:szCs w:val="32"/>
          <w:lang w:eastAsia="zh-CN"/>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7A48965A">
      <w:pPr>
        <w:pStyle w:val="10"/>
        <w:ind w:firstLine="640" w:firstLineChars="200"/>
        <w:rPr>
          <w:rFonts w:hint="eastAsia" w:ascii="Times New Roman" w:hAnsi="Times New Roman" w:eastAsia="仿宋_GB2312" w:cs="Times New Roman"/>
          <w:sz w:val="32"/>
          <w:szCs w:val="32"/>
          <w:lang w:eastAsia="zh-CN"/>
        </w:rPr>
      </w:pPr>
    </w:p>
    <w:p w14:paraId="7393E4AD">
      <w:pPr>
        <w:rPr>
          <w:rFonts w:hint="eastAsia" w:ascii="Times New Roman" w:hAnsi="Times New Roman" w:eastAsia="仿宋_GB2312" w:cs="Times New Roman"/>
          <w:sz w:val="32"/>
          <w:szCs w:val="32"/>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47D45">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55765624">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55765624">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590744"/>
    <w:rsid w:val="058213F7"/>
    <w:rsid w:val="08FF0C17"/>
    <w:rsid w:val="0963250F"/>
    <w:rsid w:val="097F7BAD"/>
    <w:rsid w:val="09B60066"/>
    <w:rsid w:val="0B3D0578"/>
    <w:rsid w:val="0C1826C4"/>
    <w:rsid w:val="0D3C4224"/>
    <w:rsid w:val="0D610029"/>
    <w:rsid w:val="0DA23CE4"/>
    <w:rsid w:val="0DFE10B9"/>
    <w:rsid w:val="134A1994"/>
    <w:rsid w:val="142327B5"/>
    <w:rsid w:val="155E2CB3"/>
    <w:rsid w:val="18413C16"/>
    <w:rsid w:val="19DB6C33"/>
    <w:rsid w:val="1C9212F7"/>
    <w:rsid w:val="1D865880"/>
    <w:rsid w:val="20D86240"/>
    <w:rsid w:val="22DD4281"/>
    <w:rsid w:val="26CA1A3A"/>
    <w:rsid w:val="28907026"/>
    <w:rsid w:val="28F8723D"/>
    <w:rsid w:val="2DBE0D65"/>
    <w:rsid w:val="2E1B43B4"/>
    <w:rsid w:val="2FF20DF5"/>
    <w:rsid w:val="318138A8"/>
    <w:rsid w:val="31CE6DED"/>
    <w:rsid w:val="32252208"/>
    <w:rsid w:val="33CF5811"/>
    <w:rsid w:val="386D21AD"/>
    <w:rsid w:val="3A7915E5"/>
    <w:rsid w:val="3B1265AF"/>
    <w:rsid w:val="3B2466CA"/>
    <w:rsid w:val="3BA0652C"/>
    <w:rsid w:val="3C1639A5"/>
    <w:rsid w:val="3CDF39C7"/>
    <w:rsid w:val="3D762392"/>
    <w:rsid w:val="3E3675FB"/>
    <w:rsid w:val="3F800236"/>
    <w:rsid w:val="3F8C783C"/>
    <w:rsid w:val="40DC5AC3"/>
    <w:rsid w:val="40F66CF8"/>
    <w:rsid w:val="40FE47B4"/>
    <w:rsid w:val="41B857FD"/>
    <w:rsid w:val="4361706F"/>
    <w:rsid w:val="43CA1521"/>
    <w:rsid w:val="444B0E8A"/>
    <w:rsid w:val="47A250A3"/>
    <w:rsid w:val="48A33B75"/>
    <w:rsid w:val="4DC04E5B"/>
    <w:rsid w:val="4DC87E21"/>
    <w:rsid w:val="4EDF3D2B"/>
    <w:rsid w:val="4EED79F5"/>
    <w:rsid w:val="5080370D"/>
    <w:rsid w:val="523F45D1"/>
    <w:rsid w:val="53BF5C69"/>
    <w:rsid w:val="53DA0A43"/>
    <w:rsid w:val="575D4E2E"/>
    <w:rsid w:val="58035B31"/>
    <w:rsid w:val="58F6185E"/>
    <w:rsid w:val="591257DC"/>
    <w:rsid w:val="5DB22BFD"/>
    <w:rsid w:val="5DD739B2"/>
    <w:rsid w:val="5E900D37"/>
    <w:rsid w:val="5F5011B7"/>
    <w:rsid w:val="60492E1B"/>
    <w:rsid w:val="61152047"/>
    <w:rsid w:val="620467BA"/>
    <w:rsid w:val="622D2BEC"/>
    <w:rsid w:val="62F60DE0"/>
    <w:rsid w:val="63DD0DD3"/>
    <w:rsid w:val="649C0E8F"/>
    <w:rsid w:val="65BF6566"/>
    <w:rsid w:val="665D25F4"/>
    <w:rsid w:val="6A403C00"/>
    <w:rsid w:val="6B4C7D1B"/>
    <w:rsid w:val="6C267EB4"/>
    <w:rsid w:val="6DA577A5"/>
    <w:rsid w:val="6DB87D30"/>
    <w:rsid w:val="6E804287"/>
    <w:rsid w:val="744C4844"/>
    <w:rsid w:val="762C29D0"/>
    <w:rsid w:val="769B60FD"/>
    <w:rsid w:val="76C10F77"/>
    <w:rsid w:val="77D8678E"/>
    <w:rsid w:val="7814798C"/>
    <w:rsid w:val="7819740D"/>
    <w:rsid w:val="78ED2B64"/>
    <w:rsid w:val="79B8347D"/>
    <w:rsid w:val="7A224A32"/>
    <w:rsid w:val="7A4B0114"/>
    <w:rsid w:val="7A6D55E9"/>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2025-06-29T10:18:30Z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3914F1199AA54E20BCEE621FF5ACE249_12</vt:lpwstr>
  </property>
</Properties>
</file>