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6DECA">
      <w:pPr>
        <w:pStyle w:val="2"/>
        <w:jc w:val="center"/>
        <w:rPr>
          <w:rFonts w:hint="eastAsia" w:ascii="Times New Roman" w:hAnsi="Times New Roman" w:cs="Times New Roman"/>
          <w:sz w:val="44"/>
          <w:szCs w:val="44"/>
        </w:rPr>
      </w:pPr>
      <w:bookmarkStart w:id="0" w:name="_GoBack"/>
      <w:bookmarkEnd w:id="0"/>
    </w:p>
    <w:p w14:paraId="1A1D666D">
      <w:pPr>
        <w:pStyle w:val="2"/>
        <w:jc w:val="center"/>
        <w:rPr>
          <w:rFonts w:ascii="Times New Roman" w:hAnsi="Times New Roman" w:cs="Times New Roman"/>
          <w:sz w:val="44"/>
          <w:szCs w:val="44"/>
        </w:rPr>
      </w:pPr>
      <w:r>
        <w:rPr>
          <w:rFonts w:ascii="Times New Roman" w:hAnsi="Times New Roman" w:cs="Times New Roman"/>
          <w:sz w:val="44"/>
          <w:szCs w:val="44"/>
        </w:rPr>
        <w:t>企业投资项目核准和备案管理条例</w:t>
      </w:r>
    </w:p>
    <w:p w14:paraId="6CC9377B">
      <w:pPr>
        <w:pStyle w:val="2"/>
        <w:ind w:firstLine="640" w:firstLineChars="200"/>
        <w:rPr>
          <w:rFonts w:hint="eastAsia" w:ascii="方正楷体_GBK" w:hAnsi="方正楷体_GBK" w:eastAsia="方正楷体_GBK" w:cs="方正楷体_GBK"/>
          <w:sz w:val="32"/>
          <w:szCs w:val="32"/>
        </w:rPr>
      </w:pPr>
    </w:p>
    <w:p w14:paraId="60C0FC0E">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C15245B">
      <w:pPr>
        <w:pStyle w:val="2"/>
        <w:ind w:firstLine="640" w:firstLineChars="200"/>
        <w:rPr>
          <w:rFonts w:ascii="Times New Roman" w:hAnsi="Times New Roman" w:cs="Times New Roman"/>
          <w:sz w:val="32"/>
          <w:szCs w:val="32"/>
        </w:rPr>
      </w:pPr>
    </w:p>
    <w:p w14:paraId="72647A0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为了规范政府对企业投资项目的核准和备案行为，加快转变政府的投资管理职能，落实企业投资自主权，制定本条例。</w:t>
      </w:r>
    </w:p>
    <w:p w14:paraId="7BA61DF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本条例所称企业投资项目(以下简称项目)，是指企业在中国境内投资建设的固定资产投资项目。</w:t>
      </w:r>
    </w:p>
    <w:p w14:paraId="695CEEA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p>
    <w:p w14:paraId="53DB91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对前款规定以外的项目，实行备案管理。除国务院另有规定的，实行备案管理的项目按照属地原则备案，备案机关及其权限由省、自治区、直辖市和计划单列市人民政府规定。</w:t>
      </w:r>
    </w:p>
    <w:p w14:paraId="60A619A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除涉及国家秘密的项目外，项目核准、备案通过国家建立的项目在线监管平台(以下简称在线平台)办理。</w:t>
      </w:r>
    </w:p>
    <w:p w14:paraId="4CD15DD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核准机关、备案机关以及其他有关部门统一使用在线平台生成的项目代码办理相关手续。</w:t>
      </w:r>
    </w:p>
    <w:p w14:paraId="1837A35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国务院投资主管部门会同有关部门制定在线平台管理办法。</w:t>
      </w:r>
    </w:p>
    <w:p w14:paraId="74DFB39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核准机关、备案机关应当通过在线平台列明与项目有关的产业政策，公开项目核准的办理流程、办理时限等，并为企业提供相关咨询服务。</w:t>
      </w:r>
    </w:p>
    <w:p w14:paraId="7D0F03D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企业办理项目核准手续，应当向核准机关提交项目申请书；由国务院核准的项目，向国务院投资主管部门提交项目申请书。项目申请书应当包括下列内容：</w:t>
      </w:r>
    </w:p>
    <w:p w14:paraId="6C9E99F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(一)企业基本情况；</w:t>
      </w:r>
    </w:p>
    <w:p w14:paraId="298CB93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(二)项目情况，包括项目名称、建设地点、建设规模、建设内容等；</w:t>
      </w:r>
    </w:p>
    <w:p w14:paraId="11C46D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(三)项目利用资源情况分析以及对生态环境的影响分析；</w:t>
      </w:r>
    </w:p>
    <w:p w14:paraId="3A62368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(四)项目对经济和社会的影响分析。</w:t>
      </w:r>
    </w:p>
    <w:p w14:paraId="61E4A3A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企业应当对项目申请书内容的真实性负责。</w:t>
      </w:r>
    </w:p>
    <w:p w14:paraId="2D198F3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法律、行政法规规定办理相关手续作为项目核准前置条件的，企业应当提交已经办理相关手续的证明文件。</w:t>
      </w:r>
    </w:p>
    <w:p w14:paraId="44C754F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项目申请书由企业自主组织编制，任何单位和个人不得强制企业委托中介服务机构编制项目申请书。</w:t>
      </w:r>
    </w:p>
    <w:p w14:paraId="05795C1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核准机关应当制定并公布项目申请书示范文本，明确项目申请书编制要求。</w:t>
      </w:r>
    </w:p>
    <w:p w14:paraId="4A85357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由国务院有关部门核准的项目，企业可以通过项目所在地省、自治区、直辖市和计划单列市人民政府有关部门(以下称地方人民政府有关部门)转送项目申请书，地方人民政府有关部门应当自收到项目申请书之日起5个工作日内转送核准机关。</w:t>
      </w:r>
    </w:p>
    <w:p w14:paraId="4789F28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由国务院核准的项目，企业通过地方人民政府有关部门转送项目申请书的，地方人民政府有关部门应当在前款规定的期限内将项目申请书转送国务院投资主管部门，由国务院投资主管部门审核后报国务院核准。</w:t>
      </w:r>
    </w:p>
    <w:p w14:paraId="0B95328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核准机关应当从下列方面对项目进行审查：</w:t>
      </w:r>
    </w:p>
    <w:p w14:paraId="5FE2AA5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(一)是否危害经济安全、社会安全、生态安全等国家安全；</w:t>
      </w:r>
    </w:p>
    <w:p w14:paraId="0D5B58A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(二)是否符合相关发展建设规划、技术标准和产业政策；</w:t>
      </w:r>
    </w:p>
    <w:p w14:paraId="08176FC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(三)是否合理开发并有效利用资源；</w:t>
      </w:r>
    </w:p>
    <w:p w14:paraId="1FC0B72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(四)是否对重大公共利益产生不利影响。</w:t>
      </w:r>
    </w:p>
    <w:p w14:paraId="17D649F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项目涉及有关部门或者项目所在地地方人民政府职责的，核准机关应当书面征求其意见，被征求意见单位应当及时书面回复。</w:t>
      </w:r>
    </w:p>
    <w:p w14:paraId="585D9F9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核准机关委托中介服务机构对项目进行评估的，应当明确评估重点；除项目情况复杂的，评估时限不得超过30个工作日。评估费用由核准机关承担。</w:t>
      </w:r>
    </w:p>
    <w:p w14:paraId="3A6F01E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核准机关应当自受理申请之日起20个工作日内，作出是否予以核准的决定；项目情况复杂或者需要征求有关单位意见的，经本机关主要负责人批准，可以延长核准期限，但延长的期限不得超过40个工作日。核准机关委托中介服务机构对项目进行评估的，评估时间不计入核准期限。</w:t>
      </w:r>
    </w:p>
    <w:p w14:paraId="2F2718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对项目予以核准的，应当向企业出具核准文件；不予核准的，应当书面通知企业并说明理由。由国务院核准的项目，由国务院投资主管部门根据国务院的决定向企业出具核准文件或者不予核准的书面通知。</w:t>
      </w:r>
    </w:p>
    <w:p w14:paraId="2582D8A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企业拟变更已核准项目的建设地点，或者拟对建设规模、建设内容等作较大变更的，应当向核准机关提出变更申请。核准机关应当自受理申请之日起20个工作日内，作出是否同意变更的书面决定。</w:t>
      </w:r>
    </w:p>
    <w:p w14:paraId="240BAD1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项目自核准机关作出予以核准决定或者同意变更决定之日起2年内未开工建设，需要延期开工建设的，企业应当在2年期限届满的30个工作日前，向核准机关申请延期开工建设。核准机关应当自受理申请之日起20个工作日内，作出是否同意延期开工建设的决定。开工建设只能延期一次，期限最长不得超过1年。国家对项目延期开工建设另有规定的，依照其规定。</w:t>
      </w:r>
    </w:p>
    <w:p w14:paraId="731BC9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实行备案管理的项目，企业应当在开工建设前通过在线平台将下列信息告知备案机关：</w:t>
      </w:r>
    </w:p>
    <w:p w14:paraId="4449ECB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(一)企业基本情况；</w:t>
      </w:r>
    </w:p>
    <w:p w14:paraId="1C712B4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(二)项目名称、建设地点、建设规模、建设内容；</w:t>
      </w:r>
    </w:p>
    <w:p w14:paraId="52FBD87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(三)项目总投资额；</w:t>
      </w:r>
    </w:p>
    <w:p w14:paraId="6B7C1A9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(四)项目符合产业政策的声明。</w:t>
      </w:r>
    </w:p>
    <w:p w14:paraId="6CD6581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企业应当对备案项目信息的真实性负责。</w:t>
      </w:r>
    </w:p>
    <w:p w14:paraId="08CDABB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备案机关收到本条第一款规定的全部信息即为备案；企业告知的信息不齐全的，备案机关应当指导企业补正。</w:t>
      </w:r>
    </w:p>
    <w:p w14:paraId="0DD4DF5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企业需要备案证明的，可以要求备案机关出具或者通过在线平台自行打印。</w:t>
      </w:r>
    </w:p>
    <w:p w14:paraId="36B3AD4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已备案项目信息发生较大变更的，企业应当及时告知备案机关。</w:t>
      </w:r>
    </w:p>
    <w:p w14:paraId="4AB5593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备案机关发现已备案项目属于产业政策禁止投资建设或者实行核准管理的，应当及时告知企业予以纠正或者依法办理核准手续，并通知有关部门。</w:t>
      </w:r>
    </w:p>
    <w:p w14:paraId="5D38E90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核准机关、备案机关以及依法对项目负有监督管理职责的其他有关部门应当加强事中事后监管，按照谁审批谁监管、谁主管谁监管的原则，落实监管责任，采取在线监测、现场核查等方式，加强对项目实施的监督检查。</w:t>
      </w:r>
    </w:p>
    <w:p w14:paraId="1A7CABE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企业应当通过在线平台如实报送项目开工建设、建设进度、竣工的基本信息。</w:t>
      </w:r>
    </w:p>
    <w:p w14:paraId="7480F21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核准机关、备案机关以及依法对项目负有监督管理职责的其他有关部门应当建立项目信息共享机制，通过在线平台实现信息共享。</w:t>
      </w:r>
    </w:p>
    <w:p w14:paraId="1B9A10D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企业在项目核准、备案以及项目实施中的违法行为及其处理信息，通过国家社会信用信息平台向社会公示。</w:t>
      </w:r>
    </w:p>
    <w:p w14:paraId="71E2EFC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实行核准管理的项目，企业未依照本条例规定办理核准手续开工建设或者未按照核准的建设地点、建设规模、建设内容等进行建设的，由核准机关责令停止建设或者责令停产，对企业处项目总投资额1</w:t>
      </w:r>
      <w:r>
        <w:rPr>
          <w:rFonts w:hAnsi="宋体" w:eastAsia="仿宋_GB2312" w:cs="Times New Roman"/>
          <w:sz w:val="32"/>
          <w:szCs w:val="32"/>
        </w:rPr>
        <w:t>‰</w:t>
      </w:r>
      <w:r>
        <w:rPr>
          <w:rFonts w:ascii="Times New Roman" w:hAnsi="Times New Roman" w:eastAsia="仿宋_GB2312" w:cs="Times New Roman"/>
          <w:sz w:val="32"/>
          <w:szCs w:val="32"/>
        </w:rPr>
        <w:t>以上5</w:t>
      </w:r>
      <w:r>
        <w:rPr>
          <w:rFonts w:hAnsi="宋体" w:eastAsia="仿宋_GB2312" w:cs="Times New Roman"/>
          <w:sz w:val="32"/>
          <w:szCs w:val="32"/>
        </w:rPr>
        <w:t>‰</w:t>
      </w:r>
      <w:r>
        <w:rPr>
          <w:rFonts w:ascii="Times New Roman" w:hAnsi="Times New Roman" w:eastAsia="仿宋_GB2312" w:cs="Times New Roman"/>
          <w:sz w:val="32"/>
          <w:szCs w:val="32"/>
        </w:rPr>
        <w:t>以下的罚款；对直接负责的主管人员和其他直接责任人员处2万元以上5万元以下的罚款，属于国家工作人员的，依法给予处分。</w:t>
      </w:r>
    </w:p>
    <w:p w14:paraId="216D43E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以欺骗、贿赂等不正当手段取得项目核准文件，尚未开工建设的，由核准机关撤销核准文件，处项目总投资额1</w:t>
      </w:r>
      <w:r>
        <w:rPr>
          <w:rFonts w:hAnsi="宋体" w:eastAsia="仿宋_GB2312" w:cs="Times New Roman"/>
          <w:sz w:val="32"/>
          <w:szCs w:val="32"/>
        </w:rPr>
        <w:t>‰</w:t>
      </w:r>
      <w:r>
        <w:rPr>
          <w:rFonts w:ascii="Times New Roman" w:hAnsi="Times New Roman" w:eastAsia="仿宋_GB2312" w:cs="Times New Roman"/>
          <w:sz w:val="32"/>
          <w:szCs w:val="32"/>
        </w:rPr>
        <w:t>以上5</w:t>
      </w:r>
      <w:r>
        <w:rPr>
          <w:rFonts w:hAnsi="宋体" w:eastAsia="仿宋_GB2312" w:cs="Times New Roman"/>
          <w:sz w:val="32"/>
          <w:szCs w:val="32"/>
        </w:rPr>
        <w:t>‰</w:t>
      </w:r>
      <w:r>
        <w:rPr>
          <w:rFonts w:ascii="Times New Roman" w:hAnsi="Times New Roman" w:eastAsia="仿宋_GB2312" w:cs="Times New Roman"/>
          <w:sz w:val="32"/>
          <w:szCs w:val="32"/>
        </w:rPr>
        <w:t>以下的罚款；已经开工建设的，依照前款规定予以处罚；构成犯罪的，依法追究刑事责任。</w:t>
      </w:r>
    </w:p>
    <w:p w14:paraId="389A31B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行备案管理的项目，企业未依照本条例规定将项目信息或者已备案项目的信息变更情况告知备案机关，或者向备案机关提供虚假信息的，由备案机关责令限期改正；逾期不改正的，处2万元以上5万元以下的罚款。</w:t>
      </w:r>
    </w:p>
    <w:p w14:paraId="7C64D41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企业投资建设产业政策禁止投资建设项目的，由县级以上人民政府投资主管部门责令停止建设或者责令停产并恢复原状，对企业处项目总投资额5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以下的罚款；对直接负责的主管人员和其他直接责任人员处5万元以上10万元以下的罚款，属于国家工作人员的，依法给予处分。法律、行政法规另有规定的，依照其规定。</w:t>
      </w:r>
    </w:p>
    <w:p w14:paraId="54B86C7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核准机关、备案机关及其工作人员在项目核准、备案工作中玩忽职守、滥用职权、徇私舞弊的，对负有责任的领导人员和直接责任人员依法给予处分；构成犯罪的，依法追究刑事责任。</w:t>
      </w:r>
    </w:p>
    <w:p w14:paraId="38337E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事业单位、社会团体等非企业组织在中国境内投资建设的固定资产投资项目适用本条例，但通过预算安排的固定资产投资项目除外。</w:t>
      </w:r>
    </w:p>
    <w:p w14:paraId="104CD8C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国防科技工业企业在中国境内投资建设的固定资产投资项目核准和备案管理办法，由国务院国防科技工业管理部门根据本条例的原则另行制定。</w:t>
      </w:r>
    </w:p>
    <w:p w14:paraId="6B712DFC">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ACC11">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14EFC83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BAA2FAE"/>
    <w:rsid w:val="002E19B9"/>
    <w:rsid w:val="004F213B"/>
    <w:rsid w:val="00746002"/>
    <w:rsid w:val="470B0857"/>
    <w:rsid w:val="56BA3843"/>
    <w:rsid w:val="5BAA2FAE"/>
    <w:rsid w:val="671571E9"/>
    <w:rsid w:val="6FAD4BEB"/>
    <w:rsid w:val="6FF673F9"/>
    <w:rsid w:val="72BC0BB0"/>
    <w:rsid w:val="79565AC6"/>
    <w:rsid w:val="7F064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471</Words>
  <Characters>2689</Characters>
  <Lines>22</Lines>
  <Paragraphs>6</Paragraphs>
  <TotalTime>1</TotalTime>
  <ScaleCrop>false</ScaleCrop>
  <LinksUpToDate>false</LinksUpToDate>
  <CharactersWithSpaces>3154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2019-05-22T14:02:00Z</dcterms:created>
  <dc:creator>Administrator</dc:creator>
  <cp:lastModifiedBy>拱酝爻涣和</cp:lastModifiedBy>
  <dcterms:modified xsi:type="dcterms:W3CDTF">2025-06-29T11:05:28Z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3E6F7BF2784B48999F13CB4C50DCF02E_12</vt:lpwstr>
  </property>
</Properties>
</file>