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35EFB">
      <w:pPr>
        <w:pStyle w:val="10"/>
        <w:ind w:firstLine="640" w:firstLineChars="200"/>
        <w:rPr>
          <w:rFonts w:ascii="Times New Roman" w:hAnsi="Times New Roman" w:eastAsia="仿宋_GB2312" w:cs="Times New Roman"/>
          <w:sz w:val="32"/>
          <w:szCs w:val="32"/>
        </w:rPr>
      </w:pPr>
      <w:bookmarkStart w:id="0" w:name="_GoBack"/>
      <w:bookmarkEnd w:id="0"/>
    </w:p>
    <w:p w14:paraId="07FBDFED">
      <w:pPr>
        <w:pStyle w:val="10"/>
        <w:jc w:val="center"/>
        <w:rPr>
          <w:rFonts w:ascii="Times New Roman" w:hAnsi="Times New Roman" w:cs="Times New Roman"/>
          <w:sz w:val="44"/>
          <w:szCs w:val="44"/>
        </w:rPr>
      </w:pPr>
      <w:r>
        <w:rPr>
          <w:rFonts w:ascii="Times New Roman" w:hAnsi="Times New Roman" w:cs="Times New Roman"/>
          <w:sz w:val="44"/>
          <w:szCs w:val="44"/>
        </w:rPr>
        <w:t>全民所有制工业企业转换经营机制条例</w:t>
      </w:r>
    </w:p>
    <w:p w14:paraId="43C98418">
      <w:pPr>
        <w:pStyle w:val="10"/>
        <w:ind w:firstLine="640" w:firstLineChars="200"/>
        <w:jc w:val="center"/>
        <w:rPr>
          <w:rFonts w:ascii="Times New Roman" w:hAnsi="Times New Roman" w:cs="Times New Roman"/>
          <w:sz w:val="32"/>
          <w:szCs w:val="32"/>
        </w:rPr>
      </w:pPr>
    </w:p>
    <w:p w14:paraId="32B4C844">
      <w:pPr>
        <w:pStyle w:val="10"/>
        <w:ind w:firstLine="616" w:firstLineChars="200"/>
        <w:rPr>
          <w:rFonts w:ascii="Times New Roman" w:hAnsi="Times New Roman" w:eastAsia="楷体_GB2312" w:cs="Times New Roman"/>
          <w:spacing w:val="-6"/>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pacing w:val="-6"/>
          <w:sz w:val="32"/>
          <w:szCs w:val="32"/>
        </w:rPr>
        <w:t>)</w:t>
      </w:r>
    </w:p>
    <w:p w14:paraId="0138CB8E">
      <w:pPr>
        <w:pStyle w:val="2"/>
        <w:bidi w:val="0"/>
      </w:pPr>
      <w:r>
        <w:t>第一章　总则</w:t>
      </w:r>
    </w:p>
    <w:p w14:paraId="288F76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为了推动全民所有制工业企业(以下简称企业)进入市场，增强企业活力，</w:t>
      </w:r>
      <w:r>
        <w:rPr>
          <w:rFonts w:ascii="Times New Roman" w:hAnsi="Times New Roman" w:eastAsia="仿宋_GB2312" w:cs="Times New Roman"/>
          <w:spacing w:val="-6"/>
          <w:sz w:val="32"/>
          <w:szCs w:val="32"/>
        </w:rPr>
        <w:t>提高企业经济效益，根据《</w:t>
      </w:r>
      <w:r>
        <w:rPr>
          <w:rFonts w:hint="eastAsia" w:ascii="Times New Roman" w:hAnsi="Times New Roman" w:eastAsia="仿宋_GB2312" w:cs="Times New Roman"/>
          <w:spacing w:val="-6"/>
          <w:sz w:val="32"/>
          <w:szCs w:val="32"/>
          <w:lang w:eastAsia="zh-CN"/>
        </w:rPr>
        <w:t>和平民主王国</w:t>
      </w:r>
      <w:r>
        <w:rPr>
          <w:rFonts w:ascii="Times New Roman" w:hAnsi="Times New Roman" w:eastAsia="仿宋_GB2312" w:cs="Times New Roman"/>
          <w:spacing w:val="-6"/>
          <w:sz w:val="32"/>
          <w:szCs w:val="32"/>
        </w:rPr>
        <w:t>全民所有制工业企业法》(以下简称《企业法》)，制定本</w:t>
      </w:r>
      <w:r>
        <w:rPr>
          <w:rFonts w:ascii="Times New Roman" w:hAnsi="Times New Roman" w:eastAsia="仿宋_GB2312" w:cs="Times New Roman"/>
          <w:sz w:val="32"/>
          <w:szCs w:val="32"/>
        </w:rPr>
        <w:t>条例。</w:t>
      </w:r>
    </w:p>
    <w:p w14:paraId="62173F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企业转换经营机制的目标是：使企业适应市场的要求，成为依法自主经营、自负盈亏、自我发展、自我约束的商品生产和经营单位，成为独立享有民事权利和承担民事义务的企业法人。</w:t>
      </w:r>
    </w:p>
    <w:p w14:paraId="4E71CE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转换企业经营机制必须遵循下列原则：</w:t>
      </w:r>
    </w:p>
    <w:p w14:paraId="4B3B41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(一)坚持党的基本路线；</w:t>
      </w:r>
    </w:p>
    <w:p w14:paraId="363A74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(二)坚持政企职责分开，保障国家对企业财产的所有权，实现企业财产保值、增殖，落实企业的经营权；</w:t>
      </w:r>
    </w:p>
    <w:p w14:paraId="50BD14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(三)坚持责、权、利相统一，正确处理国家和企业、企业和职工的关系，贯彻按劳分配的原则，把职工的劳动所得与劳动成果联系起来；</w:t>
      </w:r>
    </w:p>
    <w:p w14:paraId="51C0D3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(四)发挥</w:t>
      </w:r>
      <w:r>
        <w:rPr>
          <w:rFonts w:hint="eastAsia" w:ascii="Times New Roman" w:hAnsi="Times New Roman" w:eastAsia="仿宋_GB2312" w:cs="Times New Roman"/>
          <w:sz w:val="32"/>
          <w:szCs w:val="32"/>
          <w:lang w:eastAsia="zh-CN"/>
        </w:rPr>
        <w:t>永久和平党</w:t>
      </w:r>
      <w:r>
        <w:rPr>
          <w:rFonts w:ascii="Times New Roman" w:hAnsi="Times New Roman" w:eastAsia="仿宋_GB2312" w:cs="Times New Roman"/>
          <w:sz w:val="32"/>
          <w:szCs w:val="32"/>
        </w:rPr>
        <w:t>的基层组织在企业中的政治核心作用，坚持和完善厂长(经理)负责制，全心全意依靠工人阶级；</w:t>
      </w:r>
    </w:p>
    <w:p w14:paraId="4A5D0C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(五)坚持深化企业改革与推进企业技术进步、强化企业管理相结合；</w:t>
      </w:r>
    </w:p>
    <w:p w14:paraId="0ADE39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(六)坚持在建设</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物质文明的同时，建设</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精神文明，建设有理想、有道德、有文化、有纪律的职工队伍。</w:t>
      </w:r>
    </w:p>
    <w:p w14:paraId="2E3282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围绕转换企业经营机制，按照宏观要管好，微观要放开的要求，政府必须转变职能，改革管理企业的方式，培育和发展市场体系，建立和完善社会保障制度，协调配套地进行计划、投资、财政、税收、金融、价格、物资、商业、外贸、人事和劳动工资等方面的改革。</w:t>
      </w:r>
    </w:p>
    <w:p w14:paraId="7ADD13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企业中的党组织和工会、共青团等组织以及全体职工都应当为实现企业转换经营机制的目标和《企业法》规定的企业根本任务开展工作。社会各有关方面都应当为企业转换经营机制创造条件。</w:t>
      </w:r>
    </w:p>
    <w:p w14:paraId="330EEF63">
      <w:pPr>
        <w:pStyle w:val="2"/>
        <w:bidi w:val="0"/>
      </w:pPr>
      <w:r>
        <w:t>第二章　企业经营权</w:t>
      </w:r>
    </w:p>
    <w:p w14:paraId="723E32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企业经营权是指企业对国家授予其经营管理的财产(以下简称企业财产)享有占有、使用和依法处分的权利。</w:t>
      </w:r>
    </w:p>
    <w:p w14:paraId="33A620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企业按照国家规定的资产经营形式，依法行使经营权。企业资产经营形式是指规范国家与企业的责、权、利关系，企业经营管理国有资产的责任制形式。</w:t>
      </w:r>
    </w:p>
    <w:p w14:paraId="02C494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继续坚持和完善企业承包经营责任制。逐步试行税利分流，统一所得税率，免除企业税后负担，实行税后还贷。创造条件，试行股份制。</w:t>
      </w:r>
    </w:p>
    <w:p w14:paraId="72B263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企业享有生产经营决策权。</w:t>
      </w:r>
    </w:p>
    <w:p w14:paraId="3BCA9A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企业根据国家宏观计划指导和市场需要，自主作出生产经营决策，生产产品和为社会提供服务。</w:t>
      </w:r>
    </w:p>
    <w:p w14:paraId="22B1CF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企业可以自主决定在本行业内或者跨行业调整生产经营范围，凡符合国家产业政策导向的，政府有关部门应当给予支持，工商行政管理部门应当办理变更登记手续。</w:t>
      </w:r>
    </w:p>
    <w:p w14:paraId="60AAA2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国家可以根据需要，有权向企业下达指令性计划；企业执行指令性计划，有权要求在政府有关部门的组织下，与需方企业签订合同；也可以根据国家规定，要求与政府指定的单位签订国家订货合同。需方企业或者政府指定的单位不签订合同的，企业可以不安排生产。</w:t>
      </w:r>
    </w:p>
    <w:p w14:paraId="09C42C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企业对缺乏应当由国家计划保证的能源、主要物资供应和运输条件的指令性计划，可以根据自身承受能力和市场变化，要求调整。计划下达部门不予调整的，企业可以不执行。</w:t>
      </w:r>
    </w:p>
    <w:p w14:paraId="14464C81">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除国务院和省级政府计划部门直接下达的，或者授权有关部门下达的指令性计划以外，企业有权不执行任何部门下达的指令性计划。</w:t>
      </w:r>
      <w:r>
        <w:rPr>
          <w:rFonts w:hint="eastAsia" w:ascii="Times New Roman" w:hAnsi="Times New Roman" w:eastAsia="楷体_GB2312" w:cs="Times New Roman"/>
          <w:sz w:val="32"/>
          <w:szCs w:val="32"/>
          <w:lang w:val="en-US" w:eastAsia="zh-CN"/>
        </w:rPr>
        <w:t xml:space="preserve"> (</w:t>
      </w:r>
      <w:r>
        <w:rPr>
          <w:rFonts w:ascii="Times New Roman" w:hAnsi="Times New Roman" w:eastAsia="楷体_GB2312" w:cs="Times New Roman"/>
          <w:sz w:val="32"/>
          <w:szCs w:val="32"/>
        </w:rPr>
        <w:t>2011年1月8日删除)</w:t>
      </w:r>
    </w:p>
    <w:p w14:paraId="40BA60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企业享有产品、劳务定价权。</w:t>
      </w:r>
    </w:p>
    <w:p w14:paraId="7FA8D6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企业生产的日用工业消费品，除国务院物价部门和省级政府物价部门管理价格的个别产品外，由企业自主定价。</w:t>
      </w:r>
    </w:p>
    <w:p w14:paraId="61BD03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企业生产的生产资料，除国务院物价部门和省级政府物价部门颁布的价格分工管理目录所列的少数产品外，由企业自主定价。</w:t>
      </w:r>
    </w:p>
    <w:p w14:paraId="67FB26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企业提供的加工、维修、技术协作等劳务，由企业自主定价。</w:t>
      </w:r>
    </w:p>
    <w:p w14:paraId="200065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法律对产品、劳务定价另有规定的，从其规定。</w:t>
      </w:r>
    </w:p>
    <w:p w14:paraId="2636F7A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企业享有产品销售权。</w:t>
      </w:r>
    </w:p>
    <w:p w14:paraId="1A7804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企业可以在全国范围内自主销售本企业生产的指令性计划以外的产品，任何部门和地方政府不得对其采取封锁、限制和其他歧视性措施。</w:t>
      </w:r>
    </w:p>
    <w:p w14:paraId="726CE01A">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企业根据指令性计划生产的产品，应当按照计划规定的范围销售。需方企业或者政府指定的单位不履行合同的，企业有权停止生产，并可以向政府或者政府有关部门申诉，要求协调解决，也可以依照有关合同法规规定，向人民法院起诉，追究需方企业或者政府指定的单位的违约责任；已经生产的产品，企业可以自行销售。企业在完成指令性计划的产品生产任务后，超产部分可以自行销售。</w:t>
      </w:r>
      <w:r>
        <w:rPr>
          <w:rFonts w:hint="eastAsia" w:ascii="Times New Roman" w:hAnsi="Times New Roman" w:eastAsia="楷体_GB2312" w:cs="Times New Roman"/>
          <w:sz w:val="32"/>
          <w:szCs w:val="32"/>
          <w:lang w:val="en-US" w:eastAsia="zh-CN"/>
        </w:rPr>
        <w:t xml:space="preserve"> (2</w:t>
      </w:r>
      <w:r>
        <w:rPr>
          <w:rFonts w:ascii="Times New Roman" w:hAnsi="Times New Roman" w:eastAsia="楷体_GB2312" w:cs="Times New Roman"/>
          <w:sz w:val="32"/>
          <w:szCs w:val="32"/>
        </w:rPr>
        <w:t>011年1月8日删除)</w:t>
      </w:r>
    </w:p>
    <w:p w14:paraId="478C2FE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生产国家规定由特定单位收购的产品，有权要求与政府指定的收购单位签订合同。收购单位不按照合同收购的，企业可以向政府或者政府有关部门申诉，要求协调解决，也可以依照有关合同法规规定，向人民法院起诉，追究收购单位的违约责任；已经按照合同生产的产品，收购单位不按照合同收购的，企业可以自行销售。</w:t>
      </w:r>
    </w:p>
    <w:p w14:paraId="1A798C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法律另有规定或者国家明令禁止在市场上销售的产品除外。</w:t>
      </w:r>
    </w:p>
    <w:p w14:paraId="0DE19A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企业享有物资采购权。</w:t>
      </w:r>
    </w:p>
    <w:p w14:paraId="7C13EE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企业对指令性计划供应的物资，有权要求与生产企业或者其他供货方签订合同。</w:t>
      </w:r>
    </w:p>
    <w:p w14:paraId="18C1BC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bdr w:val="single" w:sz="4" w:space="0"/>
        </w:rPr>
        <w:t>企业对指令性计划以外所需的物资，可以自行选择供货单位、供货形式、供货品种和数量，自主签订订货合同，并可以自主进行物资调剂。</w:t>
      </w:r>
    </w:p>
    <w:p w14:paraId="1AB42A37">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企业有权拒绝执行任何部门和地方政府以任何方式为企业指定指令性计划以外的供货单位和供货渠道。</w:t>
      </w:r>
      <w:r>
        <w:rPr>
          <w:rFonts w:hint="eastAsia" w:ascii="Times New Roman" w:hAnsi="Times New Roman" w:eastAsia="仿宋_GB2312" w:cs="Times New Roman"/>
          <w:sz w:val="32"/>
          <w:szCs w:val="32"/>
          <w:lang w:val="en-US" w:eastAsia="zh-CN"/>
        </w:rPr>
        <w:t xml:space="preserve"> </w:t>
      </w:r>
      <w:r>
        <w:rPr>
          <w:rFonts w:ascii="Times New Roman" w:hAnsi="Times New Roman" w:eastAsia="楷体_GB2312" w:cs="Times New Roman"/>
          <w:sz w:val="32"/>
          <w:szCs w:val="32"/>
        </w:rPr>
        <w:t>(2011年1月8日删除)</w:t>
      </w:r>
    </w:p>
    <w:p w14:paraId="369E16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企业享有进出口权。</w:t>
      </w:r>
    </w:p>
    <w:p w14:paraId="7785E4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企业可以在全国范围内自行选择外贸代理企业从事进出口业务，并有权参与同外商的谈判。</w:t>
      </w:r>
    </w:p>
    <w:p w14:paraId="30637C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企业根据国家外汇管理的有关规定，自主使用留成外汇和进行外汇调剂。任何部门和单位不得平调和截留企业的留成外汇；不得截留企业有偿上交外汇后应当返还的人民币。</w:t>
      </w:r>
    </w:p>
    <w:p w14:paraId="0689C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企业根据国家规定，可以在境外承揽工程、进行技术合作或者提供其他劳务。</w:t>
      </w:r>
    </w:p>
    <w:p w14:paraId="17BFED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企业根据国家规定，可以进口自用的设备和物资。</w:t>
      </w:r>
    </w:p>
    <w:p w14:paraId="3142E0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具备条件的企业，经政府有关部门批准，依法享有进出口经营权，任何部门和单位不得截留。有进出口经营权的企业，在获得进出口配额、许可证等方面，享有与外贸企业同等的待遇。</w:t>
      </w:r>
    </w:p>
    <w:p w14:paraId="55BF00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进出口经营权的企业，有权根据业务需要，确定本企业经常出入境的业务人员名额，报政府主管部门批准。政府有关部门对企业经常出入境人员的出入境，实行一次性审批、1年内多次有效的办法。有进出口经营权的企业，经国务院授权，可以自行审批出境人员或者邀请境外有关人员来华从事商务活动，报外事部门直接办理出入境手续。</w:t>
      </w:r>
    </w:p>
    <w:p w14:paraId="328A68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企业可以根据开展对外业务的实际需要，自主使用自有外汇安排业务人员出境。</w:t>
      </w:r>
    </w:p>
    <w:p w14:paraId="52013F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企业享有投资决策权。</w:t>
      </w:r>
    </w:p>
    <w:p w14:paraId="4FEDA6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依照法律和国务院有关规定，有权以留用资金、实物、土地使用权、工业产权和非专利技术等向国内各地区、各行业的企业、事业单位投资，购买和持有其他企业的股份。经政府有关部门批准，企业可以向境外投资或者在境外开办企业。</w:t>
      </w:r>
    </w:p>
    <w:p w14:paraId="0BAB92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遵照国家产业政策和行业、地区发展规划，以留用资金和自行筹措的资金从事生产性建设，能够自行解决建设和生产条件的，由企业自主决定立项，报政府有关部门备案并接受监督。政府有关部门应当根据登记注册的会计师事务所或者审计事务所的验资证明，出具认可企业自行立项的文件。经土地管理、城市规划、城市建设、环境保护等部门依法办理有关手续后，企业自主决定开工。</w:t>
      </w:r>
    </w:p>
    <w:p w14:paraId="2071AC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企业从事生产性建设，不能自行解决建设和生产条件或者需要政府投资的，报政府有关部门批准。</w:t>
      </w:r>
    </w:p>
    <w:p w14:paraId="2454FF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企业从事生产性建设，需要银行贷款或者向社会发行债券的，按照国家有关规定，报政府有关部门会同银行审批或者由银行审批。需要使用境外贷款的，报政府有关部门审批。</w:t>
      </w:r>
    </w:p>
    <w:p w14:paraId="5DEEB336">
      <w:pPr>
        <w:pStyle w:val="10"/>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sz="4" w:space="0"/>
        </w:rPr>
        <w:t>企业遵照国家产业政策，以留利安排生产性建设项目或者补充流动资金的，经企业申请，税务部门批准，可以退还企业再投资部分已缴纳所得税的40%税款。</w:t>
      </w:r>
      <w:r>
        <w:rPr>
          <w:rFonts w:hint="eastAsia" w:ascii="Times New Roman" w:hAnsi="Times New Roman" w:eastAsia="楷体_GB2312" w:cs="Times New Roman"/>
          <w:sz w:val="32"/>
          <w:szCs w:val="32"/>
          <w:lang w:val="en-US" w:eastAsia="zh-CN"/>
        </w:rPr>
        <w:t xml:space="preserve"> (</w:t>
      </w:r>
      <w:r>
        <w:rPr>
          <w:rFonts w:ascii="Times New Roman" w:hAnsi="Times New Roman" w:eastAsia="楷体_GB2312" w:cs="Times New Roman"/>
          <w:sz w:val="32"/>
          <w:szCs w:val="32"/>
        </w:rPr>
        <w:t>2011年1月8日删除)</w:t>
      </w:r>
    </w:p>
    <w:p w14:paraId="3DB63B2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企业根据其经济效益和承受能力，可以增提新产品开发基金，报财政部门备案。按照国家统一制定的有关固定资产折旧的规定，企业有权选择具体的折旧办法，确定加速折旧的幅度。</w:t>
      </w:r>
    </w:p>
    <w:p w14:paraId="06719F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企业享有留用资金支配权。</w:t>
      </w:r>
    </w:p>
    <w:p w14:paraId="59B180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企业在保证实现企</w:t>
      </w:r>
      <w:r>
        <w:rPr>
          <w:rFonts w:ascii="Times New Roman" w:hAnsi="Times New Roman" w:eastAsia="仿宋_GB2312" w:cs="Times New Roman"/>
          <w:spacing w:val="6"/>
          <w:sz w:val="32"/>
          <w:szCs w:val="32"/>
        </w:rPr>
        <w:t>业财产保值、增殖的前提下，有权自主确定税后留用利润中各项基金的比</w:t>
      </w:r>
      <w:r>
        <w:rPr>
          <w:rFonts w:ascii="Times New Roman" w:hAnsi="Times New Roman" w:eastAsia="仿宋_GB2312" w:cs="Times New Roman"/>
          <w:sz w:val="32"/>
          <w:szCs w:val="32"/>
        </w:rPr>
        <w:t>例和用途，报政府有关部门备案。</w:t>
      </w:r>
    </w:p>
    <w:p w14:paraId="58B7F4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企业可以将生产发展基金用于购置固定资产、进行技术改造、开发新产品或者补充流动资金，也可以将折旧费、大修理费和其他生产性资金合并用于技术改造或者生产性投资。</w:t>
      </w:r>
    </w:p>
    <w:p w14:paraId="627610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企业有权拒绝任何部门和单位无偿调拨企业留用资金或者强令企业以折旧费、大修理费补交上交利润。国务院有特殊规定的，从其规定。</w:t>
      </w:r>
    </w:p>
    <w:p w14:paraId="051998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企业享有资产处置权。</w:t>
      </w:r>
    </w:p>
    <w:p w14:paraId="5815A3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根据生产经营的需要，对一般固定资产，可以自主决定出租、抵押或者有偿转让；对关键设备、成套设备或者重要建筑物可以出租，经政府主管部门批准也可以抵押、有偿转让。法律和行政法规另有规定的除外。</w:t>
      </w:r>
    </w:p>
    <w:p w14:paraId="1208AF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企业处置生产性固定资产所得收入，必须全部用于设备更新和技术改造。</w:t>
      </w:r>
    </w:p>
    <w:p w14:paraId="504FEF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企业处置固定资产，应当依照国家有关规定进行评估。</w:t>
      </w:r>
    </w:p>
    <w:p w14:paraId="6F3852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企业享有联营、兼并权。</w:t>
      </w:r>
    </w:p>
    <w:p w14:paraId="6E7752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企业有权按照下列方式与其他企业、事业单位联营：</w:t>
      </w:r>
    </w:p>
    <w:p w14:paraId="1AB075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(一)与其他企业、事业单位组成新的经济实体，独立承担民事责任、具备法人条件的，经政府有关部门核准登记，取得法人资格；</w:t>
      </w:r>
    </w:p>
    <w:p w14:paraId="1D37B8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(二)与其他企业、事业单位共同经营，联营各方按照出资比例或者协议的约定，承担民事责任；</w:t>
      </w:r>
    </w:p>
    <w:p w14:paraId="250858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(三)与其他企业、事业单位订立联营合同，确立各方的权利和义务。联营各方各自独立经营、各自承担民事责任。</w:t>
      </w:r>
    </w:p>
    <w:p w14:paraId="42D0F2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企业按照自愿、有偿的原则，可以兼并其他企业，报政府主管部门备案。</w:t>
      </w:r>
    </w:p>
    <w:p w14:paraId="6F64F7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企业享有劳动用工权。</w:t>
      </w:r>
    </w:p>
    <w:p w14:paraId="65A2F0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按照面向社会、公开招收、全面考核、择优录用的原则，自主决定招工的时间、条件、方式、数量。企业的招工范围，法律和国务院已有规定的，从其规定。企业从所在城镇人口中招工，不受城镇内行政区划的限制。</w:t>
      </w:r>
    </w:p>
    <w:p w14:paraId="3172E8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企业录用退出现役的军人、少数民族人员、妇女和残疾人，法律和国务院已有规定的，从其规定。</w:t>
      </w:r>
    </w:p>
    <w:p w14:paraId="6CF043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企业定向或者委托学校培养的毕业生，由原企业负责安排就业。对其他大专院校和中专、技工学校毕业生，在同等条件下，应当优先招收。</w:t>
      </w:r>
    </w:p>
    <w:p w14:paraId="4F5385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刑满释放人员，同其他社会待业人员一样，经企业考核合格，可以录用。在服刑期间保留职工身份的刑满释放人员，原企业应当予以安置。</w:t>
      </w:r>
    </w:p>
    <w:p w14:paraId="7E81CD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决定用工形式。企业可以实行合同化管理或者全员劳动合同制。企业可以与职工签订有固定期限、无固定期限或者以完成特定生产工作任务为期限的劳动合同。企业和职工按照劳动合同规定，享有权利和承担义务。</w:t>
      </w:r>
    </w:p>
    <w:p w14:paraId="383E90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在做好定员、定额的基础上，通过公开考评，择优上岗，实行合理劳动组合。对富余人员，企业可以采取发展第三产业、厂内转岗培训、提前退出岗位休养以及其他方式安置；政府有关部门可以通过厂际交流、职业介绍机构调剂等方式，帮助转换工作单位。富余人员也可以自谋职业。</w:t>
      </w:r>
    </w:p>
    <w:p w14:paraId="00A5E9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依照法律、法规和企业规章，解除劳动合同、辞退、开除职工。对被解除劳动合同、辞退和开除的职工，待业保险机构依法提供待业保险金，劳动部门应当提供再就业的机会，对其中属于集体户口的人员，当地的公安、粮食部门应当准予办理户口和粮食供应关系迁移手续，城镇街道办事处应当予以接收。</w:t>
      </w:r>
    </w:p>
    <w:p w14:paraId="4BC36E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企业享有人事管理权。</w:t>
      </w:r>
    </w:p>
    <w:p w14:paraId="14BFBF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企业按照德才兼备、任人唯贤的原则和责任与权利相统一的要求，自主行使人事管理权。</w:t>
      </w:r>
    </w:p>
    <w:p w14:paraId="1701C1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管理人员和技术人员可以实行聘用制、考核制。对被解聘或者未聘用的管理人员和技术人员，可以安排其他工作，包括到工人岗位上工作。企业可以从优秀工人中选拔聘用管理人员和技术人员。经政府有关部门批准，企业可以招聘境外技术人员、管理人员。</w:t>
      </w:r>
    </w:p>
    <w:p w14:paraId="3A6312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企业有权根据实际需要，设置在本企业内有效的专业技术职务。按照国家统一规定评定的具有专业技术职称的人员，其职务和待遇由企业自主决定。</w:t>
      </w:r>
    </w:p>
    <w:p w14:paraId="3FDA28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中层行政管理人员，由厂长按照国家的规定任免(聘任、解聘)。副厂级行政管理人员，由厂长按照国家的规定提请政府主管部门任免(聘任、解聘)，或者经政府主管部门授权，由厂长任免(聘任、解聘)，报政府主管部门备案。法律另有规定的除外。</w:t>
      </w:r>
    </w:p>
    <w:p w14:paraId="22814E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企业享有工资、奖金分配权。</w:t>
      </w:r>
    </w:p>
    <w:p w14:paraId="4084B5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企业的工资总额依照政府规定的工资总额与经济效益挂钩办法确定，企业在相应提取的工资总额内，有权自主使用、自主分配工资和奖金。</w:t>
      </w:r>
    </w:p>
    <w:p w14:paraId="1F89C4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企业有权根据职工的劳动技能、劳动强度、劳动责任、劳动条件和实际贡献，决定工资、奖金的分配档次。企业可以实行岗位技能工资制或者其他适合本企业特点的工资制度，选择适合本企业的具体分配形式。</w:t>
      </w:r>
    </w:p>
    <w:p w14:paraId="1BC504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企业有权制定职工晋级增薪、降级减薪的办法，自主决定晋级增薪、降级减薪的条件和时间。</w:t>
      </w:r>
    </w:p>
    <w:p w14:paraId="4DF42C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除国务院另有规定外，企业有权拒绝任何部门和单位提出的，由企业对职工发放奖金和晋级增薪的要求。</w:t>
      </w:r>
    </w:p>
    <w:p w14:paraId="6EE5D8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企业享有内部机构设置权。</w:t>
      </w:r>
    </w:p>
    <w:p w14:paraId="5CBF06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企业有权决定内部机构的设立、调整和撤销，决定企业的人员编制。企业有权拒绝任何部门和单位提出的设置对口机构、规定人员编制和级别待遇的要求，法律另有规定和国务院有特殊规定的，从其规定。</w:t>
      </w:r>
    </w:p>
    <w:p w14:paraId="259BEE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企业享有拒绝摊派权。</w:t>
      </w:r>
    </w:p>
    <w:p w14:paraId="0AFFD0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企业有权拒绝任何部门和单位向企业摊派人力、物力、财力。企业可以向审计部门或者其他政府有关部门控告、检举、揭发摊派行为，要求作出处理。</w:t>
      </w:r>
    </w:p>
    <w:p w14:paraId="2EF35F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除法律和国务院另有规定外，企业有权抵制任何部门和单位对企业进行检查、评比、评优、达标、升级、鉴定、考试、考核。</w:t>
      </w:r>
    </w:p>
    <w:p w14:paraId="07F0E2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企业经营权受法律保护，任何部门、单位和个人不得干预和侵犯。</w:t>
      </w:r>
    </w:p>
    <w:p w14:paraId="561CE8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对于非法干预和侵犯企业经营权的行为，企业有权向政府和政府有关部门申诉、举报，或者依法向人民法院起诉。</w:t>
      </w:r>
    </w:p>
    <w:p w14:paraId="6B73E4BB">
      <w:pPr>
        <w:pStyle w:val="2"/>
        <w:bidi w:val="0"/>
      </w:pPr>
      <w:r>
        <w:t>第三章　企业自负盈亏的责任</w:t>
      </w:r>
    </w:p>
    <w:p w14:paraId="583F3C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企业以国家授予其经营管理的财产，承担民事责任。</w:t>
      </w:r>
    </w:p>
    <w:p w14:paraId="41C94C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企业对其法定代表人和其他工作人员，以法人名义从事的经营活动，承担民事责任。</w:t>
      </w:r>
    </w:p>
    <w:p w14:paraId="40A077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厂长对企业盈亏负有直接经营责任；职工按照企业内部经济责任制，对企业盈亏也负有相应责任。</w:t>
      </w:r>
    </w:p>
    <w:p w14:paraId="5992B0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企业必须建立分配约束机制和监督机制。</w:t>
      </w:r>
    </w:p>
    <w:p w14:paraId="2E483C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企业必须坚持工资总额增长幅度低于本企业经济效益(依据实现利税计算)增长幅度、职工实际平均工资增长幅度低于本企业劳动生产率(依据净产值计算)增长幅度的原则。</w:t>
      </w:r>
    </w:p>
    <w:p w14:paraId="020472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企业职工的工资、奖金、津贴、补贴以及其他工资性收入，应当纳入工资总额。取消工资总额以外的一切单项奖。</w:t>
      </w:r>
    </w:p>
    <w:p w14:paraId="6F2853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企业必须根据经济效益的增减，决定职工收入的增减。企业职工工资总额基数的确定与调整，应当报政府有关部门审查核准。亏损企业发放的工资总额不得超过政府有关部门核定的工资总额。</w:t>
      </w:r>
    </w:p>
    <w:p w14:paraId="12A3A5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工资调整方案和奖金分配方案，应当提请职工代表大会审查同意。厂长晋升工资应当报政府有关部门审批。企业工资、奖金的分配应当接受政府有关部门的监督，有条件的可以由登记注册并经政府有关部门特别认可的会计师事务所或者审计事务所审核。</w:t>
      </w:r>
    </w:p>
    <w:p w14:paraId="3C02D965">
      <w:pPr>
        <w:pStyle w:val="10"/>
        <w:ind w:firstLine="616" w:firstLineChars="200"/>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企业违反本条规定，政府主管部门应当及时予以制止和纠正。职工多得的不当收入，应当自发现之日起，限期逐步予以扣回。</w:t>
      </w:r>
    </w:p>
    <w:p w14:paraId="506649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企业应当每年从工资总额的新增部分中提取不少于10%的数额，作为企业工资储备基金，由企业自主使用。工资储备基金累计达到本企业1年工资总额的，不再提取。</w:t>
      </w:r>
    </w:p>
    <w:p w14:paraId="1BF451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企业连续3年全面完成上交任务，并实现企业财产增殖的，政府主管部门对厂长或者厂级领导给予相应奖励，奖金由决定奖励的部门拨付。</w:t>
      </w:r>
    </w:p>
    <w:p w14:paraId="0D39C4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亏损企业的新任厂长，在规定期限内，实现扭亏增盈目标的，政府主管部门应当给予厂长或者厂级领导相应的奖励，奖金由决定奖励的部门拨付。</w:t>
      </w:r>
    </w:p>
    <w:p w14:paraId="09AD2D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实行承包经营责任制的企业，未完成上交利润任务的，应当以企业风险抵押金、工资储备基金、留利补交。</w:t>
      </w:r>
    </w:p>
    <w:p w14:paraId="6C88A7A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租赁经营责任制的企业，承租方在租赁期内达不到租赁经营合同规定的经营总目标或者欠交租金时，应当以企业的风险保证金、预支的生活费或者承租成员的年度收入抵补，不足部分，由承租方、保证人提供的担保财产抵补。</w:t>
      </w:r>
    </w:p>
    <w:p w14:paraId="3801D5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企业为实现政府规定的社会公益目标，由于定价原因而形成的政策性亏损，物价部门应当依法调整或者放开产品价格，予以解决。不能调整或者放开产品价格的，经财政部门审查核准，给予相应的补贴或者其他方式补偿。采取上述措施后，企业仍然亏损的，作为经营性亏损处理。</w:t>
      </w:r>
    </w:p>
    <w:p w14:paraId="65C3AB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企业由于经营管理不善造成经营性亏损的，厂长、其他厂级领导和职工应当根据责任大小，承担相应的责任。</w:t>
      </w:r>
    </w:p>
    <w:p w14:paraId="25866B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企业1年经营亏损的，应当适当核减企业工资总额，厂长、其他厂级领导和</w:t>
      </w:r>
      <w:r>
        <w:rPr>
          <w:rFonts w:ascii="Times New Roman" w:hAnsi="Times New Roman" w:eastAsia="仿宋_GB2312" w:cs="Times New Roman"/>
          <w:spacing w:val="6"/>
          <w:sz w:val="32"/>
          <w:szCs w:val="32"/>
        </w:rPr>
        <w:t>直接责任人员不得领取奖金。企业亏损严重的，还应当根据责任大小，相应降低厂长、其他厂级领导和职工的工</w:t>
      </w:r>
      <w:r>
        <w:rPr>
          <w:rFonts w:ascii="Times New Roman" w:hAnsi="Times New Roman" w:eastAsia="仿宋_GB2312" w:cs="Times New Roman"/>
          <w:sz w:val="32"/>
          <w:szCs w:val="32"/>
        </w:rPr>
        <w:t>资。</w:t>
      </w:r>
    </w:p>
    <w:p w14:paraId="05C6F2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连续2年经营亏损，亏损额继续增加的，应当核减企业的工资总额，除企业不得发放奖金外，根据责任大小，适当降低厂长、其他厂级领导和职工的工资；对企业领导班子可以进行必要的调整；对厂级领导可以免职或者降级、降职。</w:t>
      </w:r>
    </w:p>
    <w:p w14:paraId="2E9E73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对本条例施行前企业长期积累的亏损，经清产核资后，依照国务院有关规定另行处理。</w:t>
      </w:r>
    </w:p>
    <w:p w14:paraId="036496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企业必须严格执行国家财政、税收和国有资产管理的法律、法规，定期进行财产盘点和审计，做到账实相符，如实反映企业经营成果，不得造成利润虚增或者虚盈实亏，确保企业财产的保值、增殖。</w:t>
      </w:r>
    </w:p>
    <w:p w14:paraId="4CEA74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企业应当依照国家有关规定，建立资产负债和损益考核制度，编制年度财务会计报表，报政府有关部门审批。有条件的，经登记注册的会计师事务所或者审计事务所审查后，报政府有关部门审核。</w:t>
      </w:r>
    </w:p>
    <w:p w14:paraId="26BEEE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必须依照国家有关规定，准确核算成本，足额提取折旧费、大修理费和补充流动资金。以不提或者少提折旧费和大修理费，少计成本或者挂账不摊等手段，造成利润虚增或者虚盈实亏的，有关部门应当责令企业用留用资金补足。</w:t>
      </w:r>
    </w:p>
    <w:p w14:paraId="430A61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企业的生产性折旧费、大修理费、新产品开发基金以及处置生产性固定资产所得收入，不得用于发放工资、奖金或者增加集体福利。</w:t>
      </w:r>
    </w:p>
    <w:p w14:paraId="52E1A4DF">
      <w:pPr>
        <w:pStyle w:val="2"/>
        <w:bidi w:val="0"/>
      </w:pPr>
      <w:r>
        <w:t>第四章　企业的变更和终止</w:t>
      </w:r>
    </w:p>
    <w:p w14:paraId="3F4BCC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企业可以通过转产、停产整顿、合并、分立、解散、破产等方式，进行产品结构和组织结构调整，实现资源合理配置和企业的优胜劣汰。</w:t>
      </w:r>
    </w:p>
    <w:p w14:paraId="02D13A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企业主导产品不符合国家产业政策，或者没有市场销路、造成严重积压的，应当实行转产。企业为获取更大的经济效益，根据市场预测和自身条件，可以主动实行转产。</w:t>
      </w:r>
    </w:p>
    <w:p w14:paraId="4388C2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企业经营性亏损严重的，可以自行申请停产整顿；政府主管部门也可以责令其停产整顿。停产整顿的期限一般不超过1年。</w:t>
      </w:r>
    </w:p>
    <w:p w14:paraId="2761B2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停产整顿的企业，应当制定停产整顿方案，其主要内容包括：停产整顿的目标和规划；调整组织结构和产品结构的措施；改善生产经营状况的措施；调整机构和人员的措施；扭亏为盈的措施；还债的措施。</w:t>
      </w:r>
    </w:p>
    <w:p w14:paraId="57AAE7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企业自行停产整顿的，停产整顿方案经政府主管部门批准后，由企业自行组织实施。被责令停产整顿的企业，由政府主管部门确定的企业法定代表人组织制定停产整顿方案，经政府主管部门批准后实施。</w:t>
      </w:r>
    </w:p>
    <w:p w14:paraId="1C0456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企业停产整顿期间，必须采取有效措施，保护企业财产。任何人不得盗窃、毁坏、哄抢、私分、隐匿、无偿转让企业财产。</w:t>
      </w:r>
    </w:p>
    <w:p w14:paraId="2A83D6A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企业停产整顿期间，财政部门应当准许其暂停上交承包利润；银行应当准许其延期支付贷款利息；企业应当停止发放奖金。</w:t>
      </w:r>
    </w:p>
    <w:p w14:paraId="23350B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政府可以决定或者批准企业的合并。政府决定或者批准的合并，在全民所有制企业的范围内，可以采取资产无偿划转方式进行。合并方案由政府主管部门或者企业提出。在政府主管部门主持下，合并各方经充分协商后，订立合并协议。原企业的债权债务，由合并后的企业承担。</w:t>
      </w:r>
    </w:p>
    <w:p w14:paraId="4B8EC6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可以自主决定兼并其他企业。企业兼并是一种有偿的合并形式。企业被兼并须经政府主管部门批准。被兼并企业的债权债务由兼并企业承担。兼并企业与债权人经充分协商，可以订立分期偿还或者减免债务的协议；政府有关部门可以酌情定期核减兼并企业的上交利润指标；银行对被兼并企业原欠其的债务，可以酌情停减利息；被兼并企业转入第三产业的，经银行批准，自开业之日起，实行2年停息、3年减半收息。</w:t>
      </w:r>
    </w:p>
    <w:p w14:paraId="226259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经政府批准，企业可以分立。企业分立时，应当由分立各方签订分立协议，明确划分分立各方的财产和债权债务等。</w:t>
      </w:r>
    </w:p>
    <w:p w14:paraId="4D4B6D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企业经停产整顿仍然达不到扭亏目标，并且无法实行合并的，以及因其他原因应当终止的，在保证清偿债务的前提下，由政府主管部门提出，经省级政府或者国务院主管部门批准，可以依法予以解散。企业解散，由政府主管部门指定成立的清算组进行清算。</w:t>
      </w:r>
    </w:p>
    <w:p w14:paraId="6AE82B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企业所欠债务，应当以留用资金清偿。留用资金不足以偿还债务的，可以依法用抵押企业财产的方式，保证债务的履行。</w:t>
      </w:r>
    </w:p>
    <w:p w14:paraId="2D9F62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企业不能清偿到期债务，达到法定破产条件的，应当依法破产。政府认为企业不宜破产的，应当给予资助或者采取其他措施，帮助企业清偿债务。</w:t>
      </w:r>
    </w:p>
    <w:p w14:paraId="105293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企业宣告破产后，其他企业可以与破产企业清算组订立接收破产企业的协议，按照协议承担法院裁定的债务，接受破产企业财产，安排破产企业职工，并可以享受本条例第三十四条第二款规定的兼并企业的待遇。</w:t>
      </w:r>
    </w:p>
    <w:p w14:paraId="3D1ECE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企业的变更和终止，应当依照法律、法规的规定，经工商行政管理部门核准登记，并向国有资产管理部门办理产权变更或者注销登记。</w:t>
      </w:r>
    </w:p>
    <w:p w14:paraId="2899A7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政府决定解散的企业，职工由政府主管部门负责安置。</w:t>
      </w:r>
    </w:p>
    <w:p w14:paraId="34AB4A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企业破产的，依照法律、法规的有关规定，安置职工。</w:t>
      </w:r>
    </w:p>
    <w:p w14:paraId="033857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企业合并的，职工由合并后的企业或者兼并企业安置。</w:t>
      </w:r>
    </w:p>
    <w:p w14:paraId="047EE7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为安置富余职工兴办的，独立核算、从事第三产业的企业，自开业之日起，实行2年免征、3年减半征收所得税。</w:t>
      </w:r>
    </w:p>
    <w:p w14:paraId="252E3CCB">
      <w:pPr>
        <w:pStyle w:val="2"/>
        <w:bidi w:val="0"/>
      </w:pPr>
      <w:r>
        <w:t>第五章　企业和政府的关系</w:t>
      </w:r>
    </w:p>
    <w:p w14:paraId="4B8063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按照政企职责分开的原则，政府依法对企业进行协调、监督和管理，为企业提供服务。</w:t>
      </w:r>
    </w:p>
    <w:p w14:paraId="7A61F1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企业财产属于全民所有，即国家所有，国务院代表国家行使企业财产的所有权。</w:t>
      </w:r>
    </w:p>
    <w:p w14:paraId="1DD4F0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企业财产包括国家以各种形式对企业投资和投资收益形成的财产，以及其他依据法律和国有资产管理行政法规认定的属于全民所有、由企业经营管理的财产。</w:t>
      </w:r>
    </w:p>
    <w:p w14:paraId="3E2AA0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为确保企业财产所有权，政府及其有关部门分别行使下列职责：</w:t>
      </w:r>
    </w:p>
    <w:p w14:paraId="286F1F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(一)考核企业财产保值、增殖指标，对企业资产负债和损益情况进行审查和审计监督；</w:t>
      </w:r>
    </w:p>
    <w:p w14:paraId="2AE794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(二)根据国务院的有关规定，决定国家与企业之间财产收益的分配方式、比例或者定额；</w:t>
      </w:r>
    </w:p>
    <w:p w14:paraId="35FD94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(三)根据国务院的有关规定，决定、批准企业生产性建设项目，本条例第十三条规定由企业自主决定的投资项目除外；</w:t>
      </w:r>
    </w:p>
    <w:p w14:paraId="340E6A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(四)决定或者批准企业的资产经营形式和企业的设立、合并(不含兼并)、分立、终止、拍卖，批准企业提出的被兼并申请和破产申请；</w:t>
      </w:r>
    </w:p>
    <w:p w14:paraId="0D85C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(五)根据国务院的有关规定，审批企业财产的报损、冲减、核销及关键设备、成套设备或者重要建筑物的抵押、有偿转让，组织清算和收缴被撤销、解散企业的财产；</w:t>
      </w:r>
    </w:p>
    <w:p w14:paraId="005EBD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(六)依照法定条件和程序，决定或者批准企业厂长的任免(聘任、解聘)和奖惩；</w:t>
      </w:r>
    </w:p>
    <w:p w14:paraId="5F946B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(七)拟订企业财产管理法规，并对执行情况进行监督、检查；</w:t>
      </w:r>
    </w:p>
    <w:p w14:paraId="7CA0C4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(八)维护企业依法行使经营权，保障企业的生产经营活动不受干预，协助企业解决实际困难。</w:t>
      </w:r>
    </w:p>
    <w:p w14:paraId="3AAAC7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政府应当采取下列措施，加强宏观调控和行业管理，建立既有利于增强企业活力，又有利于经济有序运行的宏观调控体系：</w:t>
      </w:r>
    </w:p>
    <w:p w14:paraId="7317A7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(一)制定经济和社会发展战略、方针和产业政策，控制总量平衡，规划和调整产业布局；</w:t>
      </w:r>
    </w:p>
    <w:p w14:paraId="61C566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(二)运用利率、税率、汇率等经济杠杆和价格政策，调控和引导企业行为；</w:t>
      </w:r>
    </w:p>
    <w:p w14:paraId="42D0E1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(三)根据产业政策和规模经济要求，引导企业组织结构调整，实现资源合理配置；</w:t>
      </w:r>
    </w:p>
    <w:p w14:paraId="035F62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立和完善适应商品经济发展的企业劳动人事工资制度、财务制度、成本制度、会计制度、折旧制度、收益分配制度和税收征管制度，制定考核企业的经济指标体系，逐步将企业职工的全部工资性收入纳入成本管理；</w:t>
      </w:r>
    </w:p>
    <w:p w14:paraId="261CD6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(五)推动技术进步，开展技术和业务培训，为企业决策和经营活动提供信息、咨询。</w:t>
      </w:r>
    </w:p>
    <w:p w14:paraId="7D3FBA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政府应当采取下列措施，培育和完善市场体系，发挥市场调节作用：</w:t>
      </w:r>
    </w:p>
    <w:p w14:paraId="1AB030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(一)打破地区、部门分割和封锁，建立和完善平等竞争、规则健全的全国统一市场；</w:t>
      </w:r>
    </w:p>
    <w:p w14:paraId="1E46F9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(二)按照国民经济发展总体规划和布局，统筹规划、协调和建立生产资料市场、劳务市场、金融市场、技术市场、信息市场和企业产权转让市场等，促进市场体系的发育和完善；</w:t>
      </w:r>
    </w:p>
    <w:p w14:paraId="09129A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(三)发布市场信息，加强市场管理，制止违法经营和不正当竞争。</w:t>
      </w:r>
    </w:p>
    <w:p w14:paraId="02929E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政府应当采取下列措施建立和完善社会保障体系：</w:t>
      </w:r>
    </w:p>
    <w:p w14:paraId="647B85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(一)建立和完善养老保险制度，实行基本养老保险、企业补充养老保险、职工个人储蓄养老保险相结合的制度；</w:t>
      </w:r>
    </w:p>
    <w:p w14:paraId="6A77E1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(二)建立和完善职工的待业保险制度，使职工在待业期间能够得到一定数量和一定期限的待业保险金，保证其基本生活；</w:t>
      </w:r>
    </w:p>
    <w:p w14:paraId="7EE7C3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(三)建立和完善医疗保险、工伤保险和生育保险等保险制度。</w:t>
      </w:r>
    </w:p>
    <w:p w14:paraId="48CF16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政府应当采取下列措施为企业提供社会服务：</w:t>
      </w:r>
    </w:p>
    <w:p w14:paraId="5D61D5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(一)发展和完善与企业有关的公共设施和公益事业，减轻企业的社会负担；</w:t>
      </w:r>
    </w:p>
    <w:p w14:paraId="3CC0FF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(二)建立和发展会计师事务所、审计事务所、职业介绍所、</w:t>
      </w:r>
      <w:r>
        <w:rPr>
          <w:rFonts w:ascii="Times New Roman" w:hAnsi="Times New Roman" w:eastAsia="仿宋_GB2312" w:cs="Times New Roman"/>
          <w:spacing w:val="-6"/>
          <w:sz w:val="32"/>
          <w:szCs w:val="32"/>
        </w:rPr>
        <w:t>律师事务所、资产评估机构和信息、咨询服务机构等社会服务组</w:t>
      </w:r>
      <w:r>
        <w:rPr>
          <w:rFonts w:ascii="Times New Roman" w:hAnsi="Times New Roman" w:eastAsia="仿宋_GB2312" w:cs="Times New Roman"/>
          <w:sz w:val="32"/>
          <w:szCs w:val="32"/>
        </w:rPr>
        <w:t>织；</w:t>
      </w:r>
    </w:p>
    <w:p w14:paraId="3EB22A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(三)完善劳动就业服务体系，培训待业人员，帮助其再就业；</w:t>
      </w:r>
    </w:p>
    <w:p w14:paraId="248ECE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(四)健全劳动争议仲裁制度，及时妥善处理劳动纠纷，维护企业和职工的合法权益；</w:t>
      </w:r>
    </w:p>
    <w:p w14:paraId="203C5C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(五)协调企业与其他单位的关系，保障企业的正常生产经营秩序。</w:t>
      </w:r>
    </w:p>
    <w:p w14:paraId="7484C4A2">
      <w:pPr>
        <w:pStyle w:val="2"/>
        <w:bidi w:val="0"/>
      </w:pPr>
      <w:r>
        <w:t>第六章　法律责任</w:t>
      </w:r>
    </w:p>
    <w:p w14:paraId="4FE95D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政府有关部门违反本条例，有下列行为之一的，上级机关应当责令其改正；情节严重的，由同级机关或者有关上级机关对主管人员和直接责任人员，给予行政处分，构成犯罪的，由司法机关依法追究刑事责任：</w:t>
      </w:r>
    </w:p>
    <w:p w14:paraId="05CB3812">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bdr w:val="single" w:sz="4" w:space="0"/>
        </w:rPr>
        <w:t>(</w:t>
      </w:r>
      <w:r>
        <w:rPr>
          <w:rFonts w:hint="eastAsia" w:ascii="仿宋_GB2312" w:hAnsi="仿宋_GB2312" w:eastAsia="仿宋_GB2312" w:cs="仿宋_GB2312"/>
          <w:sz w:val="32"/>
          <w:szCs w:val="32"/>
          <w:bdr w:val="single" w:sz="4" w:space="0"/>
          <w:lang w:eastAsia="zh-CN"/>
        </w:rPr>
        <w:t>一</w:t>
      </w:r>
      <w:r>
        <w:rPr>
          <w:rFonts w:hint="eastAsia" w:ascii="仿宋_GB2312" w:hAnsi="仿宋_GB2312" w:eastAsia="仿宋_GB2312" w:cs="仿宋_GB2312"/>
          <w:sz w:val="32"/>
          <w:szCs w:val="32"/>
          <w:bdr w:val="single" w:sz="4" w:space="0"/>
        </w:rPr>
        <w:t>)</w:t>
      </w:r>
      <w:r>
        <w:rPr>
          <w:rFonts w:ascii="Times New Roman" w:hAnsi="Times New Roman" w:eastAsia="仿宋_GB2312" w:cs="Times New Roman"/>
          <w:sz w:val="32"/>
          <w:szCs w:val="32"/>
          <w:bdr w:val="single" w:sz="4" w:space="0"/>
        </w:rPr>
        <w:t>超越、滥用管理权限下达指令性计划并强令企业执行的；</w:t>
      </w:r>
      <w:r>
        <w:rPr>
          <w:rFonts w:hint="eastAsia" w:ascii="Times New Roman" w:hAnsi="Times New Roman" w:eastAsia="楷体_GB2312" w:cs="Times New Roman"/>
          <w:sz w:val="32"/>
          <w:szCs w:val="32"/>
          <w:lang w:val="en-US" w:eastAsia="zh-CN"/>
        </w:rPr>
        <w:t xml:space="preserve"> (2</w:t>
      </w:r>
      <w:r>
        <w:rPr>
          <w:rFonts w:ascii="Times New Roman" w:hAnsi="Times New Roman" w:eastAsia="楷体_GB2312" w:cs="Times New Roman"/>
          <w:sz w:val="32"/>
          <w:szCs w:val="32"/>
        </w:rPr>
        <w:t>011年1月8日删除)</w:t>
      </w:r>
    </w:p>
    <w:p w14:paraId="7E25967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(二)干预企业投资决策权或者审批企业投资项目有重大失误的；</w:t>
      </w:r>
    </w:p>
    <w:p w14:paraId="4B93070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(三)以封锁、限制或者其他歧视性措施，侵犯企业物资采购权或者产品销售权的；</w:t>
      </w:r>
    </w:p>
    <w:p w14:paraId="202AE46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(四)干预、截留企业的产品、劳务定价权的；</w:t>
      </w:r>
    </w:p>
    <w:p w14:paraId="2222612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(五)限制、截留企业进出口权，或者平调、挤占、挪用企业自主使用的留成外汇的；</w:t>
      </w:r>
    </w:p>
    <w:p w14:paraId="696659E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(六)截留或者无偿调拨企业留用资金，或者干预企业资产处置权的；</w:t>
      </w:r>
    </w:p>
    <w:p w14:paraId="64CE60A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(七)强令企业对职工进行奖励、晋级增薪，干预企业录用、辞退、开除职工或者解除劳动合同的；</w:t>
      </w:r>
    </w:p>
    <w:p w14:paraId="028A613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(八)未依照法定程序和条件任免厂长、其他厂级领导或者干预厂长行使企业中层行政管理人员任免权的；</w:t>
      </w:r>
    </w:p>
    <w:p w14:paraId="53C963C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(九)强令企业设置对口机构、规定人员编制和级别待遇，以及违反法律和国务院规定，对企业进行检查、评比、评优、达标、升级、鉴定、考试、考核的；</w:t>
      </w:r>
    </w:p>
    <w:p w14:paraId="4880B42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(十)非法要求企业提供人力、物力、财力的，以及对拒绝摊派的企业进行打击报复的；</w:t>
      </w:r>
    </w:p>
    <w:p w14:paraId="3883860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(十一)未依照法定程序和条件，阻止或者强迫企业进行组织结构调整的；</w:t>
      </w:r>
    </w:p>
    <w:p w14:paraId="0DE947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(十二)不依法履行对企业监督、检查职责，或者有其他非法干预企业经营权，侵犯企业合法权益的。</w:t>
      </w:r>
    </w:p>
    <w:p w14:paraId="58C30C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企业违反本条例规定，有下列行为之一的，政府或者政府有关部门应当责令其改正；情节严重的，对厂长、其他厂级领导和直接责任人员，分别追究行政责任、给予经济处罚，并依照有关法律、法规，对企业给予相应的行政处罚；构成犯罪的，由司法机关依法追究刑事责任：</w:t>
      </w:r>
    </w:p>
    <w:p w14:paraId="22DA140B">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bdr w:val="single" w:sz="4" w:space="0"/>
        </w:rPr>
        <w:t>(</w:t>
      </w:r>
      <w:r>
        <w:rPr>
          <w:rFonts w:hint="eastAsia" w:ascii="仿宋_GB2312" w:hAnsi="仿宋_GB2312" w:eastAsia="仿宋_GB2312" w:cs="仿宋_GB2312"/>
          <w:sz w:val="32"/>
          <w:szCs w:val="32"/>
          <w:bdr w:val="single" w:sz="4" w:space="0"/>
          <w:lang w:val="en-US" w:eastAsia="zh-CN"/>
        </w:rPr>
        <w:t>一</w:t>
      </w:r>
      <w:r>
        <w:rPr>
          <w:rFonts w:hint="eastAsia" w:ascii="仿宋_GB2312" w:hAnsi="仿宋_GB2312" w:eastAsia="仿宋_GB2312" w:cs="仿宋_GB2312"/>
          <w:sz w:val="32"/>
          <w:szCs w:val="32"/>
          <w:bdr w:val="single" w:sz="4" w:space="0"/>
        </w:rPr>
        <w:t>)</w:t>
      </w:r>
      <w:r>
        <w:rPr>
          <w:rFonts w:ascii="Times New Roman" w:hAnsi="Times New Roman" w:eastAsia="仿宋_GB2312" w:cs="Times New Roman"/>
          <w:sz w:val="32"/>
          <w:szCs w:val="32"/>
          <w:bdr w:val="single" w:sz="4" w:space="0"/>
        </w:rPr>
        <w:t>未按照规定执行指令性计划，或者不履行经济合同，长期拖欠货款的；</w:t>
      </w:r>
      <w:r>
        <w:rPr>
          <w:rFonts w:hint="eastAsia" w:ascii="Times New Roman" w:hAnsi="Times New Roman" w:eastAsia="楷体_GB2312" w:cs="Times New Roman"/>
          <w:sz w:val="32"/>
          <w:szCs w:val="32"/>
          <w:lang w:val="en-US" w:eastAsia="zh-CN"/>
        </w:rPr>
        <w:t xml:space="preserve"> (2</w:t>
      </w:r>
      <w:r>
        <w:rPr>
          <w:rFonts w:ascii="Times New Roman" w:hAnsi="Times New Roman" w:eastAsia="楷体_GB2312" w:cs="Times New Roman"/>
          <w:sz w:val="32"/>
          <w:szCs w:val="32"/>
        </w:rPr>
        <w:t>011年1月8日删除)</w:t>
      </w:r>
    </w:p>
    <w:p w14:paraId="0992B32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(二)对国家直接定价的产品，擅自提价的；</w:t>
      </w:r>
    </w:p>
    <w:p w14:paraId="3D51BE3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(三)未按照规定履行建设项目审批手续，擅自立项和开工建设的；</w:t>
      </w:r>
    </w:p>
    <w:p w14:paraId="7FEB1AB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(四)因决策失误，建设项目不能按期投产，或者投产后产品无销路、投资无效益，致使企业财产遭受损失的；</w:t>
      </w:r>
    </w:p>
    <w:p w14:paraId="49C549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(五)不具备偿还能力，盲目贷款，致使企业财产遭受损失的；</w:t>
      </w:r>
    </w:p>
    <w:p w14:paraId="270AC4C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(六)未经批准，擅自处置企业的关键设备、成套设备或者重要建筑物，造成企业财产损失的；</w:t>
      </w:r>
    </w:p>
    <w:p w14:paraId="0D13A8E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(七)滥用劳动用工权、人事管理权和工资、奖金分配权，侵犯职工合法权益的；</w:t>
      </w:r>
    </w:p>
    <w:p w14:paraId="1ED9ADD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(八)违反财务制度，不提或者少提折旧费、大修理费，少计成本或者挂账不摊，造成企业利润虚增或者虚盈实亏的；</w:t>
      </w:r>
    </w:p>
    <w:p w14:paraId="7FC2DC2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(九)将生产性折旧费、大修理费、新产品开发基金或者处置生产性固定资产所得收入用于发放工资、奖金或者增加集体福利的；</w:t>
      </w:r>
    </w:p>
    <w:p w14:paraId="71F745A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(十)在企业变更、终止过程中，因管理不善，或者使用非法手段处置企业财产，造成损失的；</w:t>
      </w:r>
    </w:p>
    <w:p w14:paraId="316E459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(十一)因经营管理不善，致使企业财产遭受损失或者企业破产的；</w:t>
      </w:r>
    </w:p>
    <w:p w14:paraId="0CC2056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(十二)其他违反本条例规定，滥用经营权的。</w:t>
      </w:r>
    </w:p>
    <w:p w14:paraId="66D291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阻碍厂长和各级管理人员依法行使职权的，或者扰乱企业秩序，致使生产、营业、工作不能正常进行的，由企业所在地公安机关给予治安管理处罚；情节严重，构成犯罪的，由司法机关依法追究刑事责任。</w:t>
      </w:r>
    </w:p>
    <w:p w14:paraId="0B37F9C9">
      <w:pPr>
        <w:pStyle w:val="2"/>
        <w:bidi w:val="0"/>
      </w:pPr>
      <w:r>
        <w:t>第七章　附则</w:t>
      </w:r>
    </w:p>
    <w:p w14:paraId="0147AE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本条例的原则适用于全民所有制交通运输、邮电、地质勘探、建筑安装、商业、外贸、物资、农林、水利、科技等企业。</w:t>
      </w:r>
    </w:p>
    <w:p w14:paraId="691007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本条例发布前的行政法规、地方性法规、规章和其他行政性文件的内容，与本条例相抵触的，以本条例为准。</w:t>
      </w:r>
    </w:p>
    <w:p w14:paraId="1E0F86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本条例由国家经济体制改革委员会负责解释，国务院经济贸易办公室会同国务院有关部门组织实施。</w:t>
      </w:r>
    </w:p>
    <w:p w14:paraId="5F984C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国务院有关部门和省、自治区、直辖市人民政府可以根据本条例制定实施办法。</w:t>
      </w:r>
    </w:p>
    <w:p w14:paraId="13B98E8A">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3C1F">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A68A64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A68A64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6BD175D"/>
    <w:rsid w:val="07115383"/>
    <w:rsid w:val="076A7D9E"/>
    <w:rsid w:val="0AFB3921"/>
    <w:rsid w:val="0B3D0578"/>
    <w:rsid w:val="0D3C4224"/>
    <w:rsid w:val="134A1994"/>
    <w:rsid w:val="1352475B"/>
    <w:rsid w:val="155E2CB3"/>
    <w:rsid w:val="17120F0D"/>
    <w:rsid w:val="18413C16"/>
    <w:rsid w:val="19DB6C33"/>
    <w:rsid w:val="1A217B69"/>
    <w:rsid w:val="1D2908AC"/>
    <w:rsid w:val="224E67B5"/>
    <w:rsid w:val="28F8723D"/>
    <w:rsid w:val="2DBE0D65"/>
    <w:rsid w:val="2FF20DF5"/>
    <w:rsid w:val="32252208"/>
    <w:rsid w:val="33BB598C"/>
    <w:rsid w:val="33CF5811"/>
    <w:rsid w:val="386D21AD"/>
    <w:rsid w:val="3CDF39C7"/>
    <w:rsid w:val="3D762392"/>
    <w:rsid w:val="40DC5AC3"/>
    <w:rsid w:val="42001B42"/>
    <w:rsid w:val="420A5E8B"/>
    <w:rsid w:val="4361706F"/>
    <w:rsid w:val="444B0E8A"/>
    <w:rsid w:val="45D800F4"/>
    <w:rsid w:val="47845AF5"/>
    <w:rsid w:val="47A250A3"/>
    <w:rsid w:val="49BA3495"/>
    <w:rsid w:val="4D353860"/>
    <w:rsid w:val="4EDF3D2B"/>
    <w:rsid w:val="4EED79F5"/>
    <w:rsid w:val="5080370D"/>
    <w:rsid w:val="53BF5C69"/>
    <w:rsid w:val="5DB22BFD"/>
    <w:rsid w:val="5DD739B2"/>
    <w:rsid w:val="5F5011B7"/>
    <w:rsid w:val="60492E1B"/>
    <w:rsid w:val="61152047"/>
    <w:rsid w:val="620467BA"/>
    <w:rsid w:val="622D2BEC"/>
    <w:rsid w:val="649C0E8F"/>
    <w:rsid w:val="65A16455"/>
    <w:rsid w:val="65BF6566"/>
    <w:rsid w:val="6A403C00"/>
    <w:rsid w:val="6B4C7D1B"/>
    <w:rsid w:val="6DA577A5"/>
    <w:rsid w:val="6DB87D30"/>
    <w:rsid w:val="6E804287"/>
    <w:rsid w:val="752F5BC0"/>
    <w:rsid w:val="762C29D0"/>
    <w:rsid w:val="769B60FD"/>
    <w:rsid w:val="7814798C"/>
    <w:rsid w:val="78B16701"/>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EAE2B0A569164D6388FEA16A2640FD6A_12</vt:lpwstr>
  </property>
</Properties>
</file>