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7044E5">
      <w:pPr>
        <w:pStyle w:val="2"/>
        <w:jc w:val="center"/>
        <w:rPr>
          <w:rFonts w:ascii="Times New Roman" w:hAnsi="Times New Roman" w:cs="Times New Roman"/>
          <w:sz w:val="44"/>
          <w:szCs w:val="44"/>
        </w:rPr>
      </w:pPr>
      <w:bookmarkStart w:id="0" w:name="_GoBack"/>
      <w:bookmarkEnd w:id="0"/>
    </w:p>
    <w:p w14:paraId="100F2D89">
      <w:pPr>
        <w:pStyle w:val="2"/>
        <w:jc w:val="center"/>
        <w:rPr>
          <w:rFonts w:ascii="Times New Roman" w:hAnsi="Times New Roman" w:cs="Times New Roman"/>
          <w:sz w:val="44"/>
          <w:szCs w:val="44"/>
        </w:rPr>
      </w:pPr>
      <w:r>
        <w:rPr>
          <w:rFonts w:ascii="Times New Roman" w:hAnsi="Times New Roman" w:cs="Times New Roman"/>
          <w:sz w:val="44"/>
          <w:szCs w:val="44"/>
        </w:rPr>
        <w:t>制止牟取暴利的暂行规定</w:t>
      </w:r>
    </w:p>
    <w:p w14:paraId="0C621A99">
      <w:pPr>
        <w:pStyle w:val="2"/>
        <w:ind w:firstLine="640" w:firstLineChars="200"/>
        <w:rPr>
          <w:rFonts w:ascii="Times New Roman" w:hAnsi="Times New Roman" w:eastAsia="楷体_GB2312" w:cs="Times New Roman"/>
          <w:sz w:val="32"/>
          <w:szCs w:val="32"/>
        </w:rPr>
      </w:pPr>
    </w:p>
    <w:p w14:paraId="1FAD60F9">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5997E0F">
      <w:pPr>
        <w:pStyle w:val="2"/>
        <w:ind w:firstLine="640" w:firstLineChars="200"/>
        <w:rPr>
          <w:rFonts w:ascii="Times New Roman" w:hAnsi="Times New Roman" w:cs="Times New Roman"/>
          <w:sz w:val="32"/>
          <w:szCs w:val="32"/>
        </w:rPr>
      </w:pPr>
    </w:p>
    <w:p w14:paraId="47532BB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为了维护</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市场经济秩序，制止牟取暴利，保护消费者的合法权益，制定本规定。</w:t>
      </w:r>
    </w:p>
    <w:p w14:paraId="731742C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本规定适用于对国民经济和社会发展有重大影响的和与居民生活有密切关系的商品和服务(以下简称商品和服务)。</w:t>
      </w:r>
    </w:p>
    <w:p w14:paraId="1BA5AE4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前款规定的商品和服务的项目，由国务院价格主管部门按照国务院的有关规定公布、调整；其中实行国家定价的，按照国家定价和国务院有关价格管理的规定执行。</w:t>
      </w:r>
    </w:p>
    <w:p w14:paraId="6D47C89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人民政府可以根据本地方的实际情况，在国务院价格主管部门公布的商品和服务的项目的基础上，决定适当增加与本地方居民生活有密切关系的商品和服务的项目，予以公布，并报国务院价格主管部门备案。</w:t>
      </w:r>
    </w:p>
    <w:p w14:paraId="098BD9B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境内从事生产经营和提供有偿服务的公民、法人和其他组织(以下简称生产经营者)必须遵守本规定。</w:t>
      </w:r>
    </w:p>
    <w:p w14:paraId="59FFA3F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生产经营者的价格行为应当遵循公开、公平和诚实信用的原则，执行国家关于商品和服务实行明码标价的规定。</w:t>
      </w:r>
    </w:p>
    <w:p w14:paraId="633F527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商品的价格和服务的收费标准(以下统称价格)，应当符合下列要求：</w:t>
      </w:r>
    </w:p>
    <w:p w14:paraId="667DB64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(一)某一商品或者服务的价格水平不超过同一地区、同一期间、同一档次、同种商品或者服务的市场平均价格的合理幅度；</w:t>
      </w:r>
    </w:p>
    <w:p w14:paraId="68B66D2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(二)某一商品或者服务的差价率不超过同一地区、同一期间、同一档次、同种商品或者服务的平均差价率的合理幅度；</w:t>
      </w:r>
    </w:p>
    <w:p w14:paraId="4EC55A6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某一商品或者服务的利润率不超过同一地区、同一期间、同一档次、同种商品或者服务的平均利润率的合理幅度。但是，生产经营者通过改善经营管理，运用新技术，降低成本，提高效益而实现的利润率除外。</w:t>
      </w:r>
    </w:p>
    <w:p w14:paraId="2884808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商品或者服务的市场平均价格、平均差价率、平均利润率以其社会平均成本为基础测定。</w:t>
      </w:r>
    </w:p>
    <w:p w14:paraId="62F0C5A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商品或者服务的市场平均价格、平均差价率、平均利润率的合理幅度，按照其与国民经济和社会发展的关系或者与居民生活的密切程度，市场供求状况和不同行业、不同环节、不同商品或者服务的特点规定。</w:t>
      </w:r>
    </w:p>
    <w:p w14:paraId="792DC2B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商品和服务的市场平均价格、平均差价率、平均利润率及其合理幅度，由省、自治区、直辖市的人民政府价格管理部门会同有关业务主管部门，按照国务院价格主管部门的规定测定和规定，并予以公布；省、自治区、直辖市人民政府价格管理部门也可以根据需要，授权市、县人民政府价格管理部门测定和规定与居民生活有密切关系的部分商品和服务的市场平均价格、平均差价率、平均利润率及其合理幅度，并予以公布。</w:t>
      </w:r>
    </w:p>
    <w:p w14:paraId="24C0EF5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有关业务主管部门和生产经营者应当配合价格管理部门的测定工作。</w:t>
      </w:r>
    </w:p>
    <w:p w14:paraId="42AFF97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生产经营者不得违反本规定，以下列手段非法牟利：</w:t>
      </w:r>
    </w:p>
    <w:p w14:paraId="26AB96B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(一)不按照规定明码标价或者在明码标示的价格之外索要高价；</w:t>
      </w:r>
    </w:p>
    <w:p w14:paraId="15F3659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(二)谎称削价让利，或者以虚假的优惠价、折扣价、处理价、最低价以及其他虚假的价格信息，进行价格欺诈；</w:t>
      </w:r>
    </w:p>
    <w:p w14:paraId="6DB1630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(三)生产经营者之间或者行业组织之间相互串通，哄抬价格；</w:t>
      </w:r>
    </w:p>
    <w:p w14:paraId="362173C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(四)违反公平、自愿原则，强迫交易对方接受高价；</w:t>
      </w:r>
    </w:p>
    <w:p w14:paraId="21E15FD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(五)采取其他价格欺诈手段。</w:t>
      </w:r>
    </w:p>
    <w:p w14:paraId="14800A2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价格监督检查人员依法执行职务，生产经营者不得拒绝、阻碍。</w:t>
      </w:r>
    </w:p>
    <w:p w14:paraId="10AB167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对生产经营者牟取暴利的行为，任何单位和个人都有权向价格监督检查机构投诉或者举报。</w:t>
      </w:r>
    </w:p>
    <w:p w14:paraId="2D36AE3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价格监督检查机构受理投诉或者收到举报后，应当及时调查核实情况，依照本规定予以处理，并根据情况对举报者给予奖励。</w:t>
      </w:r>
    </w:p>
    <w:p w14:paraId="0886DD3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违反本规定第五条规定的，由价格监督检查机构责令改正；拒不改正的，予以警告、没收违法所得，可以并处违法所得5倍以下的罚款。</w:t>
      </w:r>
    </w:p>
    <w:p w14:paraId="311F7EB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违反本规定第八条规定的，由价格监督检查机构予以警告，责令其向遭受损害的一方退还违法所得，违法所得不能退还的，予以没收，可以并处违法所得5倍以下的罚款；情节严重，构成犯罪的，依法追究刑事责任。</w:t>
      </w:r>
    </w:p>
    <w:p w14:paraId="7FDB260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以暴力、威胁方法阻碍价格监督检查人员依法执行职务的，依法追究刑事责任；拒绝、阻碍价格监督检查人员依法执行职务，未使用暴力、威胁方法，构成违反治安管理行为的，由公安机关依照治安管理处罚法的有关规定予以处罚。</w:t>
      </w:r>
    </w:p>
    <w:p w14:paraId="1C15F5B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价格监督检查人员玩忽职守、徇私舞弊，或者包庇、纵容牟取暴利的行为的，依法给予行政处分；构成犯罪的，依法追究刑事责任。</w:t>
      </w:r>
    </w:p>
    <w:p w14:paraId="7EAB9DC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工商行政管理、审计、财政、税务、公安、技术监督等部门，应当在各自的职责范围内，配合价格监督检查机构查处牟取暴利的行为。</w:t>
      </w:r>
    </w:p>
    <w:p w14:paraId="16B07CD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省、自治区、直辖市人民政府，可以结合本地方的实际情况，根据本规定制定实施办法。</w:t>
      </w:r>
    </w:p>
    <w:p w14:paraId="7428285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本规定由国务院价格主管部门组织实施。</w:t>
      </w:r>
    </w:p>
    <w:p w14:paraId="72E7BF55">
      <w:pPr>
        <w:ind w:firstLine="640" w:firstLineChars="200"/>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28903">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F293ADA">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0641E97"/>
    <w:rsid w:val="000162A9"/>
    <w:rsid w:val="008C06AE"/>
    <w:rsid w:val="00901B1C"/>
    <w:rsid w:val="00BF19F7"/>
    <w:rsid w:val="00DD4BFC"/>
    <w:rsid w:val="00E50FC8"/>
    <w:rsid w:val="065E18AA"/>
    <w:rsid w:val="0AE20CA1"/>
    <w:rsid w:val="0EB35368"/>
    <w:rsid w:val="2FEC1D24"/>
    <w:rsid w:val="33EF20A8"/>
    <w:rsid w:val="40641E97"/>
    <w:rsid w:val="491F3C84"/>
    <w:rsid w:val="56FA60C1"/>
    <w:rsid w:val="6DA913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280</Words>
  <Characters>1601</Characters>
  <Lines>13</Lines>
  <Paragraphs>3</Paragraphs>
  <TotalTime>0</TotalTime>
  <ScaleCrop>false</ScaleCrop>
  <LinksUpToDate>false</LinksUpToDate>
  <CharactersWithSpaces>1878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2019-05-23T02:00:00Z</dcterms:created>
  <dc:creator>Administrator</dc:creator>
  <cp:lastModifiedBy>拱酝爻涣和</cp:lastModifiedBy>
  <dcterms:modified xsi:type="dcterms:W3CDTF">2025-06-29T11:23:10Z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0EDB7C60CD5246B19EAFDF7212D06E12_12</vt:lpwstr>
  </property>
</Properties>
</file>