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A0289">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37998EB4">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和平民主王国内河交通安全管理条例</w:t>
      </w:r>
    </w:p>
    <w:p w14:paraId="38ABBC8F">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850C89E">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15F4465">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5489A04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为了加强内河交通安全管理，维护内河交通秩序，保障人民群众生命、财产安全，制定本条例。</w:t>
      </w:r>
    </w:p>
    <w:p w14:paraId="28D0B4C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在和平民主王国内河通航水域从事航行、停泊和作业以及与内河交通安全有关的活动，必须遵守本条例。</w:t>
      </w:r>
    </w:p>
    <w:p w14:paraId="694AB77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内河交通安全管理遵循安全第一、预防为主、方便群众、依法管理的原则，保障内河交通安全、有序、畅通。</w:t>
      </w:r>
    </w:p>
    <w:p w14:paraId="5AE0D0F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国务院交通主管部门主管全国内河交通安全管理工作。国家海事管理机构在国务院交通主管部门的领导下，负责全国内河交通安全监督管理工作。</w:t>
      </w:r>
    </w:p>
    <w:p w14:paraId="54B8449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在中央管理水域设立的海事管理机构和省、自治区、直辖市人民政府在中央管理水域以外的其他水域设立的海事管理机构(以下统称海事管理机构)依据各自的职责权限，对所辖内河通航水域实施水上交通安全监督管理。</w:t>
      </w:r>
    </w:p>
    <w:p w14:paraId="64530FE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县级以上地方各级人民政府应当加强本行政区域内的内河交通安全管理工作，建立、健全内河交通安全管理责任制。</w:t>
      </w:r>
    </w:p>
    <w:p w14:paraId="4952C49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乡(镇)人民政府对本行政区域内的内河交通安全管理履行下列职责：</w:t>
      </w:r>
    </w:p>
    <w:p w14:paraId="72362E8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(一)建立、健全行政村和船主的船舶安全责任制；</w:t>
      </w:r>
    </w:p>
    <w:p w14:paraId="255EF1D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(二)落实渡口船舶、船员、旅客定额的安全管理责任制；</w:t>
      </w:r>
    </w:p>
    <w:p w14:paraId="4A4DA8E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(三)落实船舶水上交通安全管理的专门人员；</w:t>
      </w:r>
    </w:p>
    <w:p w14:paraId="4C29B40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(四)督促船舶所有人、经营人和船员遵守有关内河交通安全的法律、法规和规章。</w:t>
      </w:r>
    </w:p>
    <w:p w14:paraId="16D1AA00">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船舶、浮动设施和船员</w:t>
      </w:r>
    </w:p>
    <w:p w14:paraId="25C44D3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船舶具备下列条件，方可航行：</w:t>
      </w:r>
    </w:p>
    <w:p w14:paraId="399A3EB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(一)经海事管理机构认可的船舶检验机构依法检验并持有合格的船舶检验证书；</w:t>
      </w:r>
    </w:p>
    <w:p w14:paraId="09C419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(二)经海事管理机构依法登记并持有船舶登记证书；</w:t>
      </w:r>
    </w:p>
    <w:p w14:paraId="7B7A638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(三)配备符合国务院交通主管部门规定的船员；</w:t>
      </w:r>
    </w:p>
    <w:p w14:paraId="7111F96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(四)配备必要的航行资料。</w:t>
      </w:r>
    </w:p>
    <w:p w14:paraId="17E5801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浮动设施具备下列条件，方可从事有关活动：</w:t>
      </w:r>
    </w:p>
    <w:p w14:paraId="67A81AF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(一)经海事管理机构认可的船舶检验机构依法检验并持有合格的检验证书；</w:t>
      </w:r>
    </w:p>
    <w:p w14:paraId="5D9C6D4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(二)经海事管理机构依法登记并持有登记证书；</w:t>
      </w:r>
    </w:p>
    <w:p w14:paraId="5E6E087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(三)配备符合国务院交通主管部门规定的掌握水上交通安全技能的船员。</w:t>
      </w:r>
    </w:p>
    <w:p w14:paraId="2ACCCA1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船舶、浮动设施应当保持适于安全航行、停泊或者从事有关活动的状态。</w:t>
      </w:r>
    </w:p>
    <w:p w14:paraId="51F5495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船舶、浮动设施的配载和系固应当符合国家安全技术规范。</w:t>
      </w:r>
    </w:p>
    <w:p w14:paraId="4C79604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p w14:paraId="65EAF7B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船员应当遵守职业道德，提高业务素质，严格依法履行职责。</w:t>
      </w:r>
    </w:p>
    <w:p w14:paraId="76CB1AB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船舶、浮动设施的所有人或者经营人，应当加强对船舶、浮动设施的安全管理，建立、健全相应的交通安全管理制度，并对船舶、浮动设施的交通安全负责；不得聘用无适任证书或者其他适任证件的人员担任船员；不得指使、强令船员违章操作。</w:t>
      </w:r>
    </w:p>
    <w:p w14:paraId="1FC6A93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船舶、浮动设施的所有人或者经营人，应当根据船舶、浮动设施的技术性能、船员状况、水域和水文气象条件，合理调度船舶或者使用浮动设施。</w:t>
      </w:r>
    </w:p>
    <w:p w14:paraId="3B997D7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按照国家规定必须取得船舶污染损害责任、沉船打捞责任的保险文书或者财务保证书的船舶，其所有人或者经营人必须取得相应的保险文书或者财务担保证明，并随船携带其副本。</w:t>
      </w:r>
    </w:p>
    <w:p w14:paraId="343C6D5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禁止伪造、变造、买卖、租借、冒用船舶检验证书、船舶登记证书、船员适任证书或者其他适任证件。</w:t>
      </w:r>
    </w:p>
    <w:p w14:paraId="4A515F49">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航行、停泊和作业</w:t>
      </w:r>
    </w:p>
    <w:p w14:paraId="2DBB42B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船舶在内河航行，应当悬挂国旗，标明船名、船籍港、载重线。</w:t>
      </w:r>
    </w:p>
    <w:p w14:paraId="0744516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按照国家规定应当报废的船舶、浮动设施，不得航行或者作业。</w:t>
      </w:r>
    </w:p>
    <w:p w14:paraId="301819E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船舶在内河航行，应当保持</w:t>
      </w:r>
      <w:r>
        <w:rPr>
          <w:rFonts w:hint="eastAsia" w:ascii="宋体" w:hAnsi="宋体" w:eastAsia="宋体" w:cs="宋体"/>
          <w:kern w:val="2"/>
          <w:sz w:val="21"/>
          <w:szCs w:val="21"/>
          <w:lang w:val="en-US" w:eastAsia="zh-CN" w:bidi="ar"/>
        </w:rPr>
        <w:t>瞭</w:t>
      </w:r>
      <w:r>
        <w:rPr>
          <w:rFonts w:hint="eastAsia" w:ascii="仿宋_GB2312" w:hAnsi="仿宋_GB2312" w:eastAsia="仿宋_GB2312" w:cs="仿宋_GB2312"/>
          <w:kern w:val="2"/>
          <w:sz w:val="21"/>
          <w:szCs w:val="21"/>
          <w:lang w:val="en-US" w:eastAsia="zh-CN" w:bidi="ar"/>
        </w:rPr>
        <w:t>望</w:t>
      </w:r>
      <w:r>
        <w:rPr>
          <w:rFonts w:hint="eastAsia" w:ascii="仿宋_GB2312" w:hAnsi="Times New Roman" w:eastAsia="仿宋_GB2312" w:cs="Times New Roman"/>
          <w:kern w:val="2"/>
          <w:sz w:val="32"/>
          <w:szCs w:val="32"/>
          <w:lang w:val="en-US" w:eastAsia="zh-CN" w:bidi="ar"/>
        </w:rPr>
        <w:t>，注意观察，并采用安全航速航行。船舶安全航速应当根据能见度、通航密度、船舶操纵性能和风、浪、水流、航路状况以及周围环境等主要因素决定。使用雷达的船舶，还应当考虑雷达设备的特性、效率和局限性。</w:t>
      </w:r>
    </w:p>
    <w:p w14:paraId="675C775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船舶在限制航速的区域和汛期高水位期间，应当按照海事管理机构规定的航速航行。</w:t>
      </w:r>
    </w:p>
    <w:p w14:paraId="5DF745D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船舶在内河航行时，上行船舶应当沿缓流或者航路一侧航行，下行船舶应当沿主流或者航路中间航行；在潮流河段、湖泊、水库、平流区域，应当尽可能沿本船右舷一侧航路航行。</w:t>
      </w:r>
    </w:p>
    <w:p w14:paraId="0BFC10D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船舶在内河航行时，应当谨慎驾驶，保障安全；对来船动态不明、声号不统一或者遇有紧迫情况时，应当减速、停车或者倒车，防止碰撞。</w:t>
      </w:r>
    </w:p>
    <w:p w14:paraId="0D91BCF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船舶相遇，各方应当注意避让。按照船舶航行规则应当让路的船舶，必须主动避让被让路船舶；被让路船舶应当注意让路船舶的行动，并适时采取措施，协助避让。</w:t>
      </w:r>
    </w:p>
    <w:p w14:paraId="1FBB6EE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船舶避让时，各方避让意图经统一后，任何一方不得擅自改变避让行动。</w:t>
      </w:r>
    </w:p>
    <w:p w14:paraId="7F23480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船舶航行、避让和信号显示的具体规则，由国务院交通主管部门制定。</w:t>
      </w:r>
    </w:p>
    <w:p w14:paraId="2A77F4C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船舶进出内河港口，应当向海事管理机构报告船舶的航次计划、适航状态、船员配备和载货载客等情况。</w:t>
      </w:r>
    </w:p>
    <w:p w14:paraId="38E8099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下列船舶在内河航行，应当向引航机构申请引航：</w:t>
      </w:r>
    </w:p>
    <w:p w14:paraId="5C025B6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(一)外国籍船舶；</w:t>
      </w:r>
    </w:p>
    <w:p w14:paraId="100FB0C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(二)1000总吨以上的海上机动船舶，但船长驾驶同一类型的海上机动船舶在同一内河通航水域航行与上一航次间隔2个月以内的除外；</w:t>
      </w:r>
    </w:p>
    <w:p w14:paraId="0EB1DC5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(三)通航条件受限制的船舶；</w:t>
      </w:r>
    </w:p>
    <w:p w14:paraId="60B5030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(四)国务院交通主管部门规定应当申请引航的客船、载运危险货物的船舶。</w:t>
      </w:r>
    </w:p>
    <w:p w14:paraId="6D9F413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船舶进出港口和通过交通管制区、通航密集区或者航行条件受限制的区域，应当遵守海事管理机构发布的有关通航规定。</w:t>
      </w:r>
    </w:p>
    <w:p w14:paraId="101C4F3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任何船舶不得擅自进入或者穿越海事管理机构公布的禁航区。</w:t>
      </w:r>
    </w:p>
    <w:p w14:paraId="7B1D710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从事货物或者旅客运输的船舶，必须符合船舶强度、稳性、吃水、消防和救生等安全技术要求和国务院交通主管部门规定的载货或者载客条件。</w:t>
      </w:r>
    </w:p>
    <w:p w14:paraId="35FCBA1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任何船舶不得超载运输货物或者旅客。</w:t>
      </w:r>
    </w:p>
    <w:p w14:paraId="6821A7F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船舶在内河通航水域载运或者拖带超重、超长、超高、超宽、半潜的物体，必须在装船或者拖带前24小时报海事管理机构核定拟航行的航路、时间，并采取必要的安全措施，保障船舶载运或者拖带安全。船舶需要护航的，应当向海事管理机构申请护航。</w:t>
      </w:r>
    </w:p>
    <w:p w14:paraId="73CE88A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遇有下列情形之一时，海事管理机构可以根据情况采取限时航行、单航、封航等临时性限制、疏导交通的措施，并予公告：</w:t>
      </w:r>
    </w:p>
    <w:p w14:paraId="5836464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(一)恶劣天气；</w:t>
      </w:r>
    </w:p>
    <w:p w14:paraId="782CE4C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(二)大范围水上施工作业；</w:t>
      </w:r>
    </w:p>
    <w:p w14:paraId="637472A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(三)影响航行的水上交通事故；</w:t>
      </w:r>
    </w:p>
    <w:p w14:paraId="190DC38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(四)水上大型群众性活动或者体育比赛；</w:t>
      </w:r>
    </w:p>
    <w:p w14:paraId="4638408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(五)对航行安全影响较大的其他情形。</w:t>
      </w:r>
    </w:p>
    <w:p w14:paraId="30C5D96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船舶应当在码头、泊位或者依法公布的锚地、停泊区、作业区停泊；遇有紧急情况，需要在其他水域停泊的，应当向海事管理机构报告。</w:t>
      </w:r>
    </w:p>
    <w:p w14:paraId="3FA37ED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船舶停泊，应当按照规定显示信号，不得妨碍或者危及其他船舶航行、停泊或者作业的安全。</w:t>
      </w:r>
    </w:p>
    <w:p w14:paraId="19EBCBF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船舶停泊，应当留有足以保证船舶安全的船员值班。</w:t>
      </w:r>
    </w:p>
    <w:p w14:paraId="601C5EB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在内河通航水域或者岸线上进行下列可能影响通航安全的作业或者活动的，应当在进行作业或者活动前报海事管理机构批准：</w:t>
      </w:r>
    </w:p>
    <w:p w14:paraId="1C54D6C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(一)勘探、采掘、爆破；</w:t>
      </w:r>
    </w:p>
    <w:p w14:paraId="503147B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(二)构筑、设置、维修、拆除水上水下构筑物或者设施；</w:t>
      </w:r>
    </w:p>
    <w:p w14:paraId="04E8D76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(三)架设桥梁、索道；</w:t>
      </w:r>
    </w:p>
    <w:p w14:paraId="7884693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(四)铺设、检修、拆除水上水下电缆或者管道；</w:t>
      </w:r>
    </w:p>
    <w:p w14:paraId="204DC5C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(五)设置系船浮筒、浮趸、缆桩等设施；</w:t>
      </w:r>
    </w:p>
    <w:p w14:paraId="00B3E8B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(六)航道建设，航道、码头前沿水域疏浚；</w:t>
      </w:r>
    </w:p>
    <w:p w14:paraId="3B18B69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(七)举行大型群众性活动、体育比赛。</w:t>
      </w:r>
    </w:p>
    <w:p w14:paraId="46C5DC5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进行前款所列作业或者活动，需要进行可行性研究的，在进行可行性研究时应当征求海事管理机构的意见；依照法律、行政法规的规定，需经其他有关部门审批的，还应当依法办理有关审批手续。</w:t>
      </w:r>
    </w:p>
    <w:p w14:paraId="26CA18A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海事管理机构审批本条例第二十五条规定的作业或者活动，应当自收到申请之日起30日内作出批准或者不批准的决定，并书面通知申请人。</w:t>
      </w:r>
    </w:p>
    <w:p w14:paraId="278FBEA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遇有紧急情况，需要对航道进行修复或者对航道、码头前沿水域进行疏浚的，作业人可以边申请边施工。</w:t>
      </w:r>
    </w:p>
    <w:p w14:paraId="2547BAB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航道内不得养殖、种植植物、水生物和设置永久性固定设施。</w:t>
      </w:r>
    </w:p>
    <w:p w14:paraId="0D18E63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划定航道，涉及水产养殖区的，航道主管部门应当征求渔业行政主管部门的意见；设置水产养殖区，涉及航道的，渔业行政主管部门应当征求航道主管部门和海事管理机构的意见。</w:t>
      </w:r>
    </w:p>
    <w:p w14:paraId="777F497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在内河通航水域进行下列可能影响通航安全的作业，应当在进行作业前向海事管理机构备案：</w:t>
      </w:r>
    </w:p>
    <w:p w14:paraId="3DB99F3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(一)气象观测、测量、地质调查；</w:t>
      </w:r>
    </w:p>
    <w:p w14:paraId="4B28F52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(二)航道日常养护；</w:t>
      </w:r>
    </w:p>
    <w:p w14:paraId="191DC31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(三)大面积清除水面垃圾；</w:t>
      </w:r>
    </w:p>
    <w:p w14:paraId="18FCDF1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(四)可能影响内河通航水域交通安全的其他行为。</w:t>
      </w:r>
    </w:p>
    <w:p w14:paraId="029981C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进行本条例第二十五条、第二十八条规定的作业或者活动时，应当在作业或者活动区域设置标志和显示信号，并按照海事管理机构的规定，采取相应的安全措施，保障通航安全。</w:t>
      </w:r>
    </w:p>
    <w:p w14:paraId="1B6F814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前款作业或者活动完成后，不得遗留任何妨碍航行的物体。</w:t>
      </w:r>
    </w:p>
    <w:p w14:paraId="6C7C3DF1">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危险货物监管</w:t>
      </w:r>
    </w:p>
    <w:p w14:paraId="71E7261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从事危险货物装卸的码头、泊位，必须符合国家有关安全规范要求，并征求海事管理机构的意见，经验收合格后，方可投入使用。</w:t>
      </w:r>
    </w:p>
    <w:p w14:paraId="7B7BF1E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禁止在内河运输法律、行政法规以及国务院交通主管部门规定禁止运输的危险货物。</w:t>
      </w:r>
    </w:p>
    <w:p w14:paraId="6C3D7C5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载运危险货物的船舶，必须持有经海事管理机构认可的船舶检验机构依法检验并颁发的危险货物适装证书，并按照国家有关危险货物运输的规定和安全技术规范进行配载和运输。</w:t>
      </w:r>
    </w:p>
    <w:p w14:paraId="3038993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船舶装卸、过驳危险货物或者载运危险货物进出港口，应当将危险货物的名称、特性、包装、装卸或者过驳的时间、地点以及进出港时间等事项，事先报告海事管理机构和港口管理机构，经其同意后，方可进行装卸、过驳作业或者进出港口；但是，定船、定线、定货的船舶可以定期报告。</w:t>
      </w:r>
    </w:p>
    <w:p w14:paraId="2FEA83A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载运危险货物的船舶，在航行、装卸或者停泊时，应当按照规定显示信号；其他船舶应当避让。</w:t>
      </w:r>
    </w:p>
    <w:p w14:paraId="6D99B75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从事危险货物装卸的码头、泊位和载运危险货物的船舶，必须编制危险货物事故应急预案，并配备相应的应急救援设备和器材。</w:t>
      </w:r>
    </w:p>
    <w:p w14:paraId="1E7CC136">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渡口管理</w:t>
      </w:r>
    </w:p>
    <w:p w14:paraId="0954413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设置或者撤销渡口，应当经渡口所在地的县级人民政府审批；县级人民政府审批前，应当征求当地海事管理机构的意见。</w:t>
      </w:r>
    </w:p>
    <w:p w14:paraId="63514A1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渡口的设置应当具备下列条件：</w:t>
      </w:r>
    </w:p>
    <w:p w14:paraId="63DEED5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(一)选址应当在水流平缓、水深足够、坡岸稳定、视野开阔、适宜船舶停靠的地点，并远离危险物品生产、堆放场所；</w:t>
      </w:r>
    </w:p>
    <w:p w14:paraId="36D46C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(二)具备货物装卸、旅客上下的安全设施；</w:t>
      </w:r>
    </w:p>
    <w:p w14:paraId="1BD8BCA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(三)配备必要的救生设备和专门管理人员。</w:t>
      </w:r>
    </w:p>
    <w:p w14:paraId="5862157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渡口经营者应当在渡口设置明显的标志，维护渡运秩序，保障渡运安全。</w:t>
      </w:r>
    </w:p>
    <w:p w14:paraId="2A4DA40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渡口所在地县级人民政府应当建立、健全渡口安全管理责任制，指定有关部门负责对渡口和渡运安全实施监督检查。</w:t>
      </w:r>
    </w:p>
    <w:p w14:paraId="4E69AEC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渡口工作人员应当经培训、考试合格，并取得渡口所在地县级人民政府指定的部门颁发的合格证书。</w:t>
      </w:r>
    </w:p>
    <w:p w14:paraId="071BD86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渡口船舶应当持有合格的船舶检验证书和船舶登记证书。</w:t>
      </w:r>
    </w:p>
    <w:p w14:paraId="44E99EE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渡口载客船舶应当有符合国家规定的识别标志，并在明显位置标明载客定额、安全注意事项。</w:t>
      </w:r>
    </w:p>
    <w:p w14:paraId="77E236A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渡口船舶应当按照渡口所在地的县级人民政府核定的路线渡运，并不得超载；渡运时，应当注意避让过往船舶，不得抢航或者强行横越。</w:t>
      </w:r>
    </w:p>
    <w:p w14:paraId="2253DF0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遇有洪水或者大风、大雾、大雪等恶劣天气，渡口应当停止渡运。</w:t>
      </w:r>
    </w:p>
    <w:p w14:paraId="6D3879AE">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通航保障</w:t>
      </w:r>
    </w:p>
    <w:p w14:paraId="2F57F38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内河通航水域的航道、航标和其他标志的规划、建设、设置、维护，应当符合国家规定的通航安全要求。</w:t>
      </w:r>
    </w:p>
    <w:p w14:paraId="684D9D8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内河航道发生变迁，水深、宽度发生变化，或者航标发生位移、损坏、灭失，影响通航安全的，航道、航标主管部门必须及时采取措施，使航道、航标保持正常状态。</w:t>
      </w:r>
    </w:p>
    <w:p w14:paraId="0B580BA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内河通航水域内可能影响航行安全的沉没物、漂流物、搁浅物，其所有人和经营人，必须按照国家有关规定设置标志，向海事管理机构报告，并在海事管理机构限定的时间内打捞清除；没有所有人或者经营人的，由海事管理机构打捞清除或者采取其他相应措施，保障通航安全。</w:t>
      </w:r>
    </w:p>
    <w:p w14:paraId="574372A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在内河通航水域中拖放竹、木等物体，应当在拖放前24小时报经海事管理机构同意，按照核定的时间、路线拖放，并采取必要的安全措施，保障拖放安全。</w:t>
      </w:r>
    </w:p>
    <w:p w14:paraId="4BD6504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任何单位和个人发现下列情况，应当迅速向海事管理机构报告：</w:t>
      </w:r>
    </w:p>
    <w:p w14:paraId="7F28294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(一)航道变迁，航道水深、宽度发生变化；</w:t>
      </w:r>
    </w:p>
    <w:p w14:paraId="579F39B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(二)妨碍通航安全的物体；</w:t>
      </w:r>
    </w:p>
    <w:p w14:paraId="3E1540E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(三)航标发生位移、损坏、灭失；</w:t>
      </w:r>
    </w:p>
    <w:p w14:paraId="3B80612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(四)妨碍通航安全的其他情况。</w:t>
      </w:r>
    </w:p>
    <w:p w14:paraId="23BE511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海事管理机构接到报告后，应当根据情况发布航行通告或者航行警告，并通知航道、航标主管部门。</w:t>
      </w:r>
    </w:p>
    <w:p w14:paraId="2C5465C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海事管理机构划定或者调整禁航区、交通管制区、港区外锚地、停泊区和安全作业区，以及对进行本条例第二十五条、第二十八条规定的作业或者活动，需要发布航行通告、航行警告的，应当及时发布。</w:t>
      </w:r>
    </w:p>
    <w:p w14:paraId="7C10A81F">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救助</w:t>
      </w:r>
    </w:p>
    <w:p w14:paraId="03C598B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船舶、浮动设施遇险，应当采取一切有效措施进行自救。</w:t>
      </w:r>
    </w:p>
    <w:p w14:paraId="6A347B3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船舶、浮动设施发生碰撞等事故，任何一方应当在不危及自身安全的情况下，积极救助遇险的他方，不得逃逸。</w:t>
      </w:r>
    </w:p>
    <w:p w14:paraId="623BBC2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船舶、浮动设施遇险，必须迅速将遇险的时间、地点、遇险状况、遇险原因、救助要求，向遇险地海事管理机构以及船舶、浮动设施所有人、经营人报告。</w:t>
      </w:r>
    </w:p>
    <w:p w14:paraId="32BF2DC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船员、浮动设施上的工作人员或者其他人员发现其他船舶、浮动设施遇险，或者收到求救信号后，必须尽力救助遇险人员，并将有关情况及时向遇险地海事管理机构报告。</w:t>
      </w:r>
    </w:p>
    <w:p w14:paraId="14588FD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海事管理机构收到船舶、浮动设施遇险求救信号或者报告后，必须立即组织力量救助遇险人员，同时向遇险地县级以上地方人民政府和上级海事管理机构报告。</w:t>
      </w:r>
    </w:p>
    <w:p w14:paraId="05902B9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遇险地县级以上地方人民政府收到海事管理机构的报告后，应当对救助工作进行领导和协调，动员各方力量积极参与救助。</w:t>
      </w:r>
    </w:p>
    <w:p w14:paraId="05F81ED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船舶、浮动设施遇险时，有关部门和人员必须积极协助海事管理机构做好救助工作。</w:t>
      </w:r>
    </w:p>
    <w:p w14:paraId="7E188D9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遇险现场和附近的船舶、人员，必须服从海事管理机构的统一调度和指挥。</w:t>
      </w:r>
    </w:p>
    <w:p w14:paraId="5239C1BA">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事故调查处理</w:t>
      </w:r>
    </w:p>
    <w:p w14:paraId="354EDFE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船舶、浮动设施发生交通事故，其所有人或者经营人必须立即向交通事故发生地海事管理机构报告，并做好现场保护工作。</w:t>
      </w:r>
    </w:p>
    <w:p w14:paraId="240B30E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海事管理机构接到内河交通事故报告后，必须立即派员前往现场，进行调查和取证。</w:t>
      </w:r>
    </w:p>
    <w:p w14:paraId="7B2E1FC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海事管理机构进行内河交通事故调查和取证，应当全面、客观、公正。</w:t>
      </w:r>
    </w:p>
    <w:p w14:paraId="79233F4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接受海事管理机构调查、取证的有关人员，应当如实提供有关情况和证据，不得谎报或者隐匿、毁灭证据。</w:t>
      </w:r>
    </w:p>
    <w:p w14:paraId="4CFE973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海事管理机构应当在内河交通事故调查、取证结束后30日内，依据调查事实和证据作出调查结论，并书面告知内河交通事故当事人。</w:t>
      </w:r>
    </w:p>
    <w:p w14:paraId="42CD47F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海事管理机构在调查处理内河交通事故过程中，应当采取有效措施，保证航路畅通，防止发生其他事故。</w:t>
      </w:r>
    </w:p>
    <w:p w14:paraId="5964D56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地方人民政府应当依照国家有关规定积极做好内河交通事故的善后工作。</w:t>
      </w:r>
    </w:p>
    <w:p w14:paraId="199440E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特大内河交通事故的报告、调查和处理，按照国务院有关规定执行。</w:t>
      </w:r>
    </w:p>
    <w:p w14:paraId="245D2FE5">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第九章　监督检查</w:t>
      </w:r>
    </w:p>
    <w:p w14:paraId="41420CD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在旅游、交通运输繁忙的湖泊、水库，在气候恶劣的季节，在法定或者传统节日、重大集会、集市、农忙、学生放学放假等交通高峰期间，县级以上地方各级人民政府应当加强对维护内河交通安全的组织、协调工作。</w:t>
      </w:r>
    </w:p>
    <w:p w14:paraId="2978AC6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海事管理机构必须建立、健全内河交通安全监督检查制度，并组织落实。</w:t>
      </w:r>
    </w:p>
    <w:p w14:paraId="5F4EDE9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p>
    <w:p w14:paraId="18DAC1D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对内河交通密集区域、多发事故水域以及货物装卸、乘客上下比较集中的港口，对客渡船、滚装客船、高速客轮、旅游船和载运危险货物的船舶，海事管理机构必须加强安全巡查。</w:t>
      </w:r>
    </w:p>
    <w:p w14:paraId="6E8D30A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海事管理机构依照本条例实施监督检查时，可以根据情况对违反本条例有关规定的船舶，采取责令临时停航、驶向指定地点，禁止进港、离港，强制卸载、拆除动力装置、暂扣船舶等保障通航安全的措施。</w:t>
      </w:r>
    </w:p>
    <w:p w14:paraId="092A500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海事管理机构的工作人员依法在内河通航水域对船舶、浮动设施进行内河交通安全监督检查，任何单位和个人不得拒绝或者阻挠。</w:t>
      </w:r>
    </w:p>
    <w:p w14:paraId="22E9848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有关单位或者个人应当接受海事管理机构依法实施的安全监督检查，并为其提供方便。</w:t>
      </w:r>
    </w:p>
    <w:p w14:paraId="3D2389A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海事管理机构的工作人员依照本条例实施监督检查时，应当出示执法证件，表明身份。</w:t>
      </w:r>
    </w:p>
    <w:p w14:paraId="41DD39B5">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第十章　法律责任</w:t>
      </w:r>
    </w:p>
    <w:p w14:paraId="07038B4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违反本条例的规定，应当报废的船舶、浮动设施在内河航行或者作业的，由海事管理机构责令停航或者停止作业，并对船舶、浮动设施予以没收。</w:t>
      </w:r>
    </w:p>
    <w:p w14:paraId="64D350E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14:paraId="0AD7034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p w14:paraId="55EED71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5AFDC8E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违反本条例的规定，按照国家规定必须取得船舶污染损害责任、沉船打捞责任的保险文书或者财务保证书的船舶的所有人或者经营人，未取得船舶污染损害责任、沉船打捞责任保险文书或者财务担保证明的，由海事管理机构责令限期改正；逾期不改正的，责令停航，并处1万元以上10万元以下的罚款。</w:t>
      </w:r>
    </w:p>
    <w:p w14:paraId="66F14E5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w:t>
      </w:r>
    </w:p>
    <w:p w14:paraId="7A68F30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(一)未按照规定悬挂国旗，标明船名、船籍港、载重线的；</w:t>
      </w:r>
    </w:p>
    <w:p w14:paraId="6B3C6A9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(二)未按照规定向海事管理机构报告船舶的航次计划、适航状态、船员配备和载货载客等情况的；</w:t>
      </w:r>
    </w:p>
    <w:p w14:paraId="210CE0F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(三)未按照规定申请引航的；</w:t>
      </w:r>
    </w:p>
    <w:p w14:paraId="6556945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(四)擅自进出内河港口，强行通过交通管制区、通航密集区、航行条件受限制区域或者禁航区的；</w:t>
      </w:r>
    </w:p>
    <w:p w14:paraId="0BE6B69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(五)载运或者拖带超重、超长、超高、超宽、半潜的物体，未申请或者未按照核定的航路、时间航行的。</w:t>
      </w:r>
    </w:p>
    <w:p w14:paraId="60258E5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违反本条例的规定，船舶未在码头、泊位或者依法公布的锚地、停泊区、作业区停泊的，由海事管理机构责令改正；拒不改正的，予以强行拖离，因拖离发生的费用由船舶所有人或者经营人承担。</w:t>
      </w:r>
    </w:p>
    <w:p w14:paraId="2A56406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违反本条例的规定，在内河通航水域或者岸线上进行有关作业或者活动未经批准或者备案，或者未设置标志、显示信号的，由海事管理机构责令改正，处5000元以上5万元以下的罚款。</w:t>
      </w:r>
    </w:p>
    <w:p w14:paraId="14BDD55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w:t>
      </w:r>
    </w:p>
    <w:p w14:paraId="43D99BE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(一)从事危险货物运输的船舶，未编制危险货物事故应急预案或者未配备相应的应急救援设备和器材的；</w:t>
      </w:r>
    </w:p>
    <w:p w14:paraId="23F93A1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(二)船舶装卸、过驳危险货物或者载运危险货物进出港口未经海事管理机构、港口管理机构同意的。</w:t>
      </w:r>
    </w:p>
    <w:p w14:paraId="6FDADCE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未持有危险货物适装证书擅自载运危险货物或者未按照安全技术规范进行配载和运输的，依照《危险化学品安全管理条例》的规定处罚。</w:t>
      </w:r>
    </w:p>
    <w:p w14:paraId="2944DB3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违反本条例的规定，未经批准擅自设置或者撤销渡口的，由渡口所在地县级人民政府指定的部门责令限期改正；逾期不改正的，予以强制拆除或者恢复，因强制拆除或者恢复发生的费用分别由设置人、撤销人承担。</w:t>
      </w:r>
    </w:p>
    <w:p w14:paraId="09C37B1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违反本条例的规定，渡口船舶未标明识别标志、载客定额、安全注意事项的，由渡口所在地县级人民政府指定的部门责令改正，处2000元以上1万元以下的罚款；逾期不改正的，责令停航。</w:t>
      </w:r>
    </w:p>
    <w:p w14:paraId="3B6B1A0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违反本条例的规定，在内河通航水域的航道内养殖、种植植物、水生物或者设置永久性固定设施的，由海事管理机构责令限期改正；逾期不改正的，予以强制清除，因清除发生的费用由其所有人或者经营人承担。</w:t>
      </w:r>
    </w:p>
    <w:p w14:paraId="538BDAA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违反本条例的规定，内河通航水域中的沉没物、漂流物、搁浅物的所有人或者经营人，未按照国家有关规定设置标志或者未在规定的时间内打捞清除的，由海事管理机构责令限期改正；逾期不改正的，海事管理机构强制设置标志或者组织打捞清除；需要立即组织打捞清除的，海事管理机构应当及时组织打捞清除。海事管理机构因设置标志或者打捞清除发生的费用，由沉没物、漂流物、搁浅物的所有人或者经营人承担。</w:t>
      </w:r>
    </w:p>
    <w:p w14:paraId="7546FE4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违反本条例的规定，船舶、浮动设施遇险后未履行报告义务或者不积极施救的，由海事管理机构给予警告，并可以对责任船员给予暂扣适任证书或者其他适任证件3个月至6个月直至吊销适任证书或者其他适任证件的处罚。</w:t>
      </w:r>
    </w:p>
    <w:p w14:paraId="352A755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违反本条例的规定，船舶、浮动设施发生内河交通事故的，除依法承担相应的法律责任外，由海事管理机构根据调查结论，对责任船员给予暂扣适任证书或者其他适任证件6个月以上直至吊销适任证书或者其他适任证件的处罚。</w:t>
      </w:r>
    </w:p>
    <w:p w14:paraId="2E71ADA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违反本条例的规定，遇险现场和附近的船舶、船员不服从海事管理机构的统一调度和指挥的，由海事管理机构给予警告，并可以对责任船员给予暂扣适任证书或者其他适任证件3个月至6个月直至吊销适任证书或者其他适任证件的处罚。</w:t>
      </w:r>
    </w:p>
    <w:p w14:paraId="71597E0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违反本条例的规定，伪造、变造、买卖、转借、冒用船舶检验证书、船舶登记证书、船员适任证书或者其他适任证件的，由海事管理机构没收有关的证书或者证件；有违法所得的，没收违法所得，并处违法所得2倍以上5倍以下的罚款；没有违法所得或者违法所得不足2万元的，处1万元以上5万元以下的罚款；触犯刑律的，依照刑法关于伪造、变造、买卖国家机关公文、证件罪或者其他罪的规定，依法追究刑事责任。</w:t>
      </w:r>
    </w:p>
    <w:p w14:paraId="7D546DD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违反本条例的规定，船舶、浮动设施的所有人或者经营人指使、强令船员违章操作的，由海事管理机构给予警告，处1万元以上5万元以下的罚款，并可以责令停航或者停止作业；造成重大伤亡事故或者严重后果的，依照刑法关于重大责任事故罪或者其他罪的规定，依法追究刑事责任。</w:t>
      </w:r>
    </w:p>
    <w:p w14:paraId="0EB3299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2E8C08B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18BF270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违反本条例的规定，船舶、浮动设施发生内河交通事故后逃逸的，由海事管理机构对责任船员给予吊销适任证书或者其他适任证件的处罚；证书或者证件吊销后，5年内不得重新从业；触犯刑律的，依照刑法关于交通肇事罪或者其他罪的规定，依法追究刑事责任。</w:t>
      </w:r>
    </w:p>
    <w:p w14:paraId="659FC3B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1B3910E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违反本条例的规定，海事管理机构不依据法定的安全条件进行审批、许可的，对负有责任的主管人员和其他直接责任人员根据不同情节，给予降级或者撤职的行政处分；造成重大内河交通事故或者致使公共财产、国家和人民利益遭受重大损失的，依照刑法关于滥用职权罪、玩忽职守罪或者其他罪的规定，依法追究刑事责任。</w:t>
      </w:r>
    </w:p>
    <w:p w14:paraId="245E9D0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违反本条例的规定，海事管理机构对审批、许可的安全事项不实施监督检查的，对负有责任的主管人员和其他直接责任人员根据不同情节，给予记大过、降级或者撤职的行政处分；造成重大内河交通事故或者致使公共财产、国家和人民利益遭受重大损失的，依照刑法关于滥用职权罪、玩忽职守罪或者其他罪的规定，依法追究刑事责任。</w:t>
      </w:r>
    </w:p>
    <w:p w14:paraId="622782D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违反本条例的规定，海事管理机构发现船舶、浮动设施不再具备安全航行、停泊、作业条件而不及时撤销批准或者许可并予以处理的，对负有责任的主管人员和其他直接责任人员根据不同情节，给予记大过、降级或者撤职的行政处分；造成重大内河交通事故或者致使公共财产、国家和人民利益遭受重大损失的，依照刑法关于滥用职权罪、玩忽职守罪或者其他罪的规定，依法追究刑事责任。</w:t>
      </w:r>
    </w:p>
    <w:p w14:paraId="0E42F20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第八十八条　</w:t>
      </w:r>
      <w:r>
        <w:rPr>
          <w:rFonts w:hint="eastAsia" w:ascii="仿宋_GB2312" w:hAnsi="Times New Roman" w:eastAsia="仿宋_GB2312" w:cs="Times New Roman"/>
          <w:kern w:val="2"/>
          <w:sz w:val="32"/>
          <w:szCs w:val="32"/>
          <w:lang w:val="en-US" w:eastAsia="zh-CN" w:bidi="ar"/>
        </w:rPr>
        <w:t>违反本条例的规定，海事管理机构对未经审批、许可擅自从事旅客、危险货物运输的船舶不实施监督检查，或者发现内河交通安全隐患不及时依法处理，或者对违法行为不依法予以处罚的，对负有责任的主管人员和其他直接责任人员根据不同情节，给予降级或者撤职的行政处分；造成重大内河交通事故或者致使公共财产、国家和人民利益遭受重大损失的，依照刑法关于滥用职权罪、玩忽职守罪或者其他罪的规定，依法追究刑事责任。</w:t>
      </w:r>
    </w:p>
    <w:p w14:paraId="7CDD244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第八十九条　</w:t>
      </w:r>
      <w:r>
        <w:rPr>
          <w:rFonts w:hint="eastAsia" w:ascii="仿宋_GB2312" w:hAnsi="Times New Roman" w:eastAsia="仿宋_GB2312" w:cs="Times New Roman"/>
          <w:kern w:val="2"/>
          <w:sz w:val="32"/>
          <w:szCs w:val="32"/>
          <w:lang w:val="en-US" w:eastAsia="zh-CN" w:bidi="ar"/>
        </w:rPr>
        <w:t>违反本条例的规定，渡口所在地县级人民政府指定的部门，有下列情形之一的，根据不同情节，对负有责任的主管人员和其他直接责任人员，给予降级或者撤职的行政处分；造成重大内河交通事故或者致使公共财产、国家和人民利益遭受重大损失的，依照刑法关于滥用职权罪、玩忽职守罪或者其他罪的规定，依法追究刑事责任：</w:t>
      </w:r>
    </w:p>
    <w:p w14:paraId="1BECAA1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(一)对县级人民政府批准的渡口不依法实施监督检查的；</w:t>
      </w:r>
    </w:p>
    <w:p w14:paraId="6C9CF1E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(二)对未经县级人民政府批准擅自设立的渡口不予以查处的；</w:t>
      </w:r>
    </w:p>
    <w:p w14:paraId="7AC9B3D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渡船超载、人与大牲畜混载、人与爆炸品、压缩气体和液化气体、易燃液体、易燃固体、自燃物品和遇湿易燃物品、氧化剂和有机过氧化物、有毒品和腐蚀品等危险品混载以及其他危及安全的行为不及时纠正并依法处理的。</w:t>
      </w:r>
    </w:p>
    <w:p w14:paraId="1188C35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第九十条　</w:t>
      </w:r>
      <w:r>
        <w:rPr>
          <w:rFonts w:hint="eastAsia" w:ascii="仿宋_GB2312" w:hAnsi="Times New Roman" w:eastAsia="仿宋_GB2312" w:cs="Times New Roman"/>
          <w:kern w:val="2"/>
          <w:sz w:val="32"/>
          <w:szCs w:val="32"/>
          <w:lang w:val="en-US" w:eastAsia="zh-CN" w:bidi="ar"/>
        </w:rPr>
        <w:t>违反本条例的规定，触犯《和平民主王国治安管理处罚法》，构成违反治安管理行为的，由公安机关给予治安管理处罚。</w:t>
      </w:r>
    </w:p>
    <w:p w14:paraId="29D780D3">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第十一章　附则</w:t>
      </w:r>
    </w:p>
    <w:p w14:paraId="3B0A8CA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第九十一条　</w:t>
      </w:r>
      <w:r>
        <w:rPr>
          <w:rFonts w:hint="eastAsia" w:ascii="仿宋_GB2312" w:hAnsi="Times New Roman" w:eastAsia="仿宋_GB2312" w:cs="Times New Roman"/>
          <w:kern w:val="2"/>
          <w:sz w:val="32"/>
          <w:szCs w:val="32"/>
          <w:lang w:val="en-US" w:eastAsia="zh-CN" w:bidi="ar"/>
        </w:rPr>
        <w:t>本条例下列用语的含义：</w:t>
      </w:r>
    </w:p>
    <w:p w14:paraId="003744C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(一)内河通航水域，是指由海事管理机构认定的可供船舶航行的江、河、湖泊、水库、运河等水域。</w:t>
      </w:r>
    </w:p>
    <w:p w14:paraId="29F82D2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(二)船舶，是指各类排水或者非排水的船、艇、筏、水上飞行器、潜水器、移动式平台以及其他水上移动装置。</w:t>
      </w:r>
    </w:p>
    <w:p w14:paraId="37E32CB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(三)浮动设施，是指采用缆绳或者锚链等非刚性固定方式系固并漂浮或者潜于水中的建筑、装置。</w:t>
      </w:r>
    </w:p>
    <w:p w14:paraId="20333D2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(四)交通事故，是指船舶、浮动设施在内河通航水域发生的碰撞、触碰、触礁、浪损、搁浅、火灾、爆炸、沉没等引起人身伤亡和财产损失的事件。</w:t>
      </w:r>
    </w:p>
    <w:p w14:paraId="038870C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第九十二条　</w:t>
      </w:r>
      <w:r>
        <w:rPr>
          <w:rFonts w:hint="eastAsia" w:ascii="仿宋_GB2312" w:hAnsi="Times New Roman" w:eastAsia="仿宋_GB2312" w:cs="Times New Roman"/>
          <w:kern w:val="2"/>
          <w:sz w:val="32"/>
          <w:szCs w:val="32"/>
          <w:lang w:val="en-US" w:eastAsia="zh-CN" w:bidi="ar"/>
        </w:rPr>
        <w:t>军事船舶在内河通航水域航行，应当遵守内河航行、避让和信号显示规则。军事船舶的检验、登记和船员的考试、发证等管理办法，按照国家有关规定执行。</w:t>
      </w:r>
    </w:p>
    <w:p w14:paraId="3042413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第九十三条　</w:t>
      </w:r>
      <w:r>
        <w:rPr>
          <w:rFonts w:hint="eastAsia" w:ascii="仿宋_GB2312" w:hAnsi="Times New Roman" w:eastAsia="仿宋_GB2312" w:cs="Times New Roman"/>
          <w:kern w:val="2"/>
          <w:sz w:val="32"/>
          <w:szCs w:val="32"/>
          <w:lang w:val="en-US" w:eastAsia="zh-CN" w:bidi="ar"/>
        </w:rPr>
        <w:t>渔船的登记以及进出渔港报告，渔船船员的考试、发证，渔船之间交通事故的调查处理，以及渔港水域内渔船的交通安全管理办法，由国务院渔业行政主管部门依据本条例另行规定。</w:t>
      </w:r>
    </w:p>
    <w:p w14:paraId="5C791EB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渔业船舶的检验及相关监督管理，由国务院交通运输主管部门按照相关渔业船舶检验的行政法规执行。</w:t>
      </w:r>
    </w:p>
    <w:p w14:paraId="6FB6195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第九十四条　</w:t>
      </w:r>
      <w:r>
        <w:rPr>
          <w:rFonts w:hint="eastAsia" w:ascii="仿宋_GB2312" w:hAnsi="Times New Roman" w:eastAsia="仿宋_GB2312" w:cs="Times New Roman"/>
          <w:kern w:val="2"/>
          <w:sz w:val="32"/>
          <w:szCs w:val="32"/>
          <w:lang w:val="en-US" w:eastAsia="zh-CN" w:bidi="ar"/>
        </w:rPr>
        <w:t>城市园林水域水上交通安全管理的具体办法，由省、自治区、直辖市人民政府制定；但是，有关船舶检验、登记和船员管理，依照国家有关规定执行。</w:t>
      </w:r>
    </w:p>
    <w:p w14:paraId="6F6E138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第九十五条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0CC4B7F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115B3C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39A05244">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A3AE9F8">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1FA8197E">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E9C8C5B">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3DE3F909">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FAEA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F4D3EF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F4D3EF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C813DB"/>
    <w:rsid w:val="0788080A"/>
    <w:rsid w:val="08FF0C17"/>
    <w:rsid w:val="0963250F"/>
    <w:rsid w:val="097F7BAD"/>
    <w:rsid w:val="09B60066"/>
    <w:rsid w:val="0A3746A2"/>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674B08"/>
    <w:rsid w:val="25F044FF"/>
    <w:rsid w:val="26CA1A3A"/>
    <w:rsid w:val="27680A3B"/>
    <w:rsid w:val="2834230D"/>
    <w:rsid w:val="28F8723D"/>
    <w:rsid w:val="2B01664D"/>
    <w:rsid w:val="2D644059"/>
    <w:rsid w:val="2DBE0D65"/>
    <w:rsid w:val="2E1B43B4"/>
    <w:rsid w:val="2ED32E01"/>
    <w:rsid w:val="2FF20DF5"/>
    <w:rsid w:val="318138A8"/>
    <w:rsid w:val="320E2B0A"/>
    <w:rsid w:val="32252208"/>
    <w:rsid w:val="33CF5811"/>
    <w:rsid w:val="386D21AD"/>
    <w:rsid w:val="3A7915E5"/>
    <w:rsid w:val="3B1265AF"/>
    <w:rsid w:val="3BA0652C"/>
    <w:rsid w:val="3CA23060"/>
    <w:rsid w:val="3CDF39C7"/>
    <w:rsid w:val="3D762392"/>
    <w:rsid w:val="3DFC6899"/>
    <w:rsid w:val="3E3675FB"/>
    <w:rsid w:val="3E4D26E2"/>
    <w:rsid w:val="3F800236"/>
    <w:rsid w:val="3F8C783C"/>
    <w:rsid w:val="40DC5AC3"/>
    <w:rsid w:val="40F66CF8"/>
    <w:rsid w:val="40FE47B4"/>
    <w:rsid w:val="41B857FD"/>
    <w:rsid w:val="41D44D98"/>
    <w:rsid w:val="4361706F"/>
    <w:rsid w:val="43CA1521"/>
    <w:rsid w:val="444B0E8A"/>
    <w:rsid w:val="47A250A3"/>
    <w:rsid w:val="494B3B16"/>
    <w:rsid w:val="4DC87E21"/>
    <w:rsid w:val="4EDF3D2B"/>
    <w:rsid w:val="4EED79F5"/>
    <w:rsid w:val="50357B7E"/>
    <w:rsid w:val="5080370D"/>
    <w:rsid w:val="523F45D1"/>
    <w:rsid w:val="52695AB4"/>
    <w:rsid w:val="529D4C7B"/>
    <w:rsid w:val="53476573"/>
    <w:rsid w:val="53BF5C69"/>
    <w:rsid w:val="53DA0A43"/>
    <w:rsid w:val="55B865F8"/>
    <w:rsid w:val="575D4E2E"/>
    <w:rsid w:val="58035B31"/>
    <w:rsid w:val="58F6185E"/>
    <w:rsid w:val="591257DC"/>
    <w:rsid w:val="5C223266"/>
    <w:rsid w:val="5DB22BFD"/>
    <w:rsid w:val="5DD739B2"/>
    <w:rsid w:val="5E900D37"/>
    <w:rsid w:val="5EE51710"/>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BA81DAA"/>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97B6F76"/>
    <w:rsid w:val="7A224A32"/>
    <w:rsid w:val="7A4B0114"/>
    <w:rsid w:val="7A6D55E9"/>
    <w:rsid w:val="7ABD49CD"/>
    <w:rsid w:val="7C0E15E2"/>
    <w:rsid w:val="7CFB06AD"/>
    <w:rsid w:val="7D0E2676"/>
    <w:rsid w:val="7E8622B0"/>
    <w:rsid w:val="7F852943"/>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2025-06-29T10:43:32Z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CB8A4D0C016D4EE3B870A6B2E314BAD8_12</vt:lpwstr>
  </property>
</Properties>
</file>