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DD278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37A8A142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军品出口管理条例</w:t>
      </w:r>
    </w:p>
    <w:p w14:paraId="375DC9FD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41B2BE99"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77D8A01E">
      <w:pPr>
        <w:pStyle w:val="3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第一章　总则</w:t>
      </w:r>
    </w:p>
    <w:p w14:paraId="5B3FD2A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为了加强对军品出口的统一管理，维护正常的军品出口秩序，制定本条例。</w:t>
      </w:r>
    </w:p>
    <w:p w14:paraId="2F2CB8E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本条例所称军品出口，是指用于军事目的的装备、专用生产设备及其他物资、技术和有关服务的贸易性出口。</w:t>
      </w:r>
    </w:p>
    <w:p w14:paraId="1768C99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前款所称军品出口，纳入军品出口管理清单。军品出口管理清单由国家军品出口主管部门制定、调整并公布。</w:t>
      </w:r>
    </w:p>
    <w:p w14:paraId="11CC73F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国家军品出口主管部门在国务院、中央军事委员会的领导下，主管全国的军品出口工作，对全国的军品出口实施监督管理。</w:t>
      </w:r>
    </w:p>
    <w:p w14:paraId="25C3165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国家实行统一的军品出口管理制度，禁止任何损害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国家的利益和安全的军品出口行为，依法保障正常的军品出口秩</w:t>
      </w:r>
      <w:r>
        <w:rPr>
          <w:rFonts w:ascii="Times New Roman" w:hAnsi="Times New Roman" w:eastAsia="仿宋_GB2312" w:cs="Times New Roman"/>
          <w:sz w:val="32"/>
          <w:szCs w:val="32"/>
        </w:rPr>
        <w:t>序。</w:t>
      </w:r>
    </w:p>
    <w:p w14:paraId="1719DA4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军品出口应当遵循下列原则：</w:t>
      </w:r>
    </w:p>
    <w:p w14:paraId="68A8360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(一)有助于接受国的正当自卫能力；</w:t>
      </w:r>
    </w:p>
    <w:p w14:paraId="700585E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(二)不损害有关地区的和世界的和平、安全与稳定；</w:t>
      </w:r>
    </w:p>
    <w:p w14:paraId="4EE16A3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(三)不干涉接受国的内政。</w:t>
      </w:r>
    </w:p>
    <w:p w14:paraId="0EB2BA9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缔结或者参加的国际条约同本条例有不同规定的，适用国际条约的规定；但是，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声明保留的条款除外。</w:t>
      </w:r>
    </w:p>
    <w:p w14:paraId="7BAE99F1">
      <w:pPr>
        <w:pStyle w:val="3"/>
        <w:bidi w:val="0"/>
      </w:pPr>
      <w:r>
        <w:t>第二章　军品贸易公司</w:t>
      </w:r>
    </w:p>
    <w:p w14:paraId="11F46D5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本条例所称军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品贸易公司，是指依法取得军品出口经营权，并在核定的经营范围内从事军品出口经营活动的企业</w:t>
      </w:r>
      <w:r>
        <w:rPr>
          <w:rFonts w:ascii="Times New Roman" w:hAnsi="Times New Roman" w:eastAsia="仿宋_GB2312" w:cs="Times New Roman"/>
          <w:sz w:val="32"/>
          <w:szCs w:val="32"/>
        </w:rPr>
        <w:t>法人。</w:t>
      </w:r>
    </w:p>
    <w:p w14:paraId="253CA0C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军品出口经营权由国家军品出口主管部门审查批准。具体办法由国家军品出口主管部门规定。</w:t>
      </w:r>
    </w:p>
    <w:p w14:paraId="0FB137C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军品贸易公司依法自主经营、自负盈亏。</w:t>
      </w:r>
    </w:p>
    <w:p w14:paraId="474AD53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军品贸易公司应当信守合同，保证商品质量，完善售后服务。</w:t>
      </w:r>
    </w:p>
    <w:p w14:paraId="569018E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军品贸易公司应当按照国家军品出口主管部门的规定，如实提交与其军品出口经营活动有关的文件及资料。国家军品出口主管部门应当为军品贸易公司保守商业秘密，维护军品贸易公司的合法权益。</w:t>
      </w:r>
    </w:p>
    <w:p w14:paraId="45B4150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军品贸易公司可以委托经批准的军品出口运输企业，办理军品出口运输及相关业务。具体办法由国家军品出口主管部门规定。</w:t>
      </w:r>
    </w:p>
    <w:p w14:paraId="73180352">
      <w:pPr>
        <w:pStyle w:val="3"/>
        <w:bidi w:val="0"/>
      </w:pPr>
      <w:r>
        <w:t>第三章　军品出口管理</w:t>
      </w:r>
    </w:p>
    <w:p w14:paraId="4DE1563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国家对军品出口实行许可制度。</w:t>
      </w:r>
    </w:p>
    <w:p w14:paraId="0E64871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军品出口项目、合同，应当依照本条例的规定申请审查批准。军品出口，应当凭军品出口许可证。</w:t>
      </w:r>
    </w:p>
    <w:p w14:paraId="078982D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军品出口项目，由国家军品出口主管部门或者由国家军品出口主管部门会同国务院、中央军事委员会的有关部门审查批准。</w:t>
      </w:r>
    </w:p>
    <w:p w14:paraId="1950FF8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项目经批准后，军品贸易公司可以对外签订军品出口合同。军品出口合同签订后，应当向国家军品出口主管部门申请审查批准；国家军品出口主管部门应当自收到申请之日起20日内作出决定。军品出口合同获得批准，方可生效。</w:t>
      </w:r>
    </w:p>
    <w:p w14:paraId="2A3DD8A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军品贸易公司向国家军品出口主管部门申请批准军品出口合同时，应当附送接受国的有效证明文件。</w:t>
      </w:r>
    </w:p>
    <w:p w14:paraId="08CC1DD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重大的军品出口项目、合同，应当经国家军品出口主管部门会同国务院、中央军事委员会的有关部门审查，报国务院和中央军事委员会批准。</w:t>
      </w:r>
    </w:p>
    <w:p w14:paraId="64837CB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在军品出口前，应当凭军品出口合同批准文件，向国家军品出口主管部门申请领取军品出口许可证；符合军品出口合同规定的，国家军品出口主管部门应当自收到申请之日起10日内签发军品出口许可证。</w:t>
      </w:r>
    </w:p>
    <w:p w14:paraId="54BEB89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海关凭军品出口许可证接受申报，并按照国家有关规定验放。</w:t>
      </w:r>
    </w:p>
    <w:p w14:paraId="1BEE72C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军品出口项目、合同的审查批准办法和军品出口许可证的签发办法，由国家军品出口主管部门制定。</w:t>
      </w:r>
    </w:p>
    <w:p w14:paraId="5205DBD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军品出口，由国家军品出口主管部门会同有关部门下达军品出口通知。有关部门和地方人民政府收到军品出口通知后，应当按照国家有关规定认真履行职责，保证军品出口的安全、迅速、准确。</w:t>
      </w:r>
    </w:p>
    <w:p w14:paraId="3AA95C69">
      <w:pPr>
        <w:pStyle w:val="3"/>
        <w:bidi w:val="0"/>
      </w:pPr>
      <w:r>
        <w:t>第四章　军品出口秩序</w:t>
      </w:r>
    </w:p>
    <w:p w14:paraId="5FCAAE0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</w:t>
      </w:r>
      <w:r>
        <w:rPr>
          <w:rFonts w:ascii="Times New Roman" w:hAnsi="Times New Roman" w:eastAsia="仿宋_GB2312" w:cs="Times New Roman"/>
          <w:sz w:val="32"/>
          <w:szCs w:val="32"/>
        </w:rPr>
        <w:t>　未取得军品出口经营权的任何单位或者组织，不得从事军品出口经营活动。</w:t>
      </w:r>
    </w:p>
    <w:p w14:paraId="035D7FE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国家禁止个人从事军品出口经营活动。</w:t>
      </w:r>
    </w:p>
    <w:p w14:paraId="298C478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军品贸易公司在军品出口经营活动中，应当遵守法律和行政法规的规定，维护正常的军品出口秩序。</w:t>
      </w:r>
    </w:p>
    <w:p w14:paraId="1F57A2B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军品贸易公司在军品出口经营活动中，不得有下列行为：</w:t>
      </w:r>
    </w:p>
    <w:p w14:paraId="085F0A7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(一)危害国家安全或者社会公共利益；</w:t>
      </w:r>
    </w:p>
    <w:p w14:paraId="2DB656B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(二)以不正当竞争手段排挤竞争对手；</w:t>
      </w:r>
    </w:p>
    <w:p w14:paraId="6138B52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(三)侵害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法律保护的知识产权；</w:t>
      </w:r>
    </w:p>
    <w:p w14:paraId="37716CE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(四)伪造、变造、骗取或者转让军品出口项目批准文件、合同批准文件、许可证和接受国的有效证明文件等单证；</w:t>
      </w:r>
    </w:p>
    <w:p w14:paraId="2F8B616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(五)超越核定的经营范围经营；</w:t>
      </w:r>
    </w:p>
    <w:p w14:paraId="5F1C796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(六)违反法律和行政法规规定的其他行为。</w:t>
      </w:r>
    </w:p>
    <w:p w14:paraId="55E5005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</w:t>
      </w:r>
      <w:r>
        <w:rPr>
          <w:rFonts w:ascii="Times New Roman" w:hAnsi="Times New Roman" w:eastAsia="仿宋_GB2312" w:cs="Times New Roman"/>
          <w:sz w:val="32"/>
          <w:szCs w:val="32"/>
        </w:rPr>
        <w:t>　国家军品出口主管部门认为必要时或者根据军品贸易公司的请求，可以对妨碍正常的军品出口秩序的行为进行处理。</w:t>
      </w:r>
    </w:p>
    <w:p w14:paraId="4B1665CF">
      <w:pPr>
        <w:pStyle w:val="3"/>
        <w:bidi w:val="0"/>
      </w:pPr>
      <w:r>
        <w:t>第五章　法律责任</w:t>
      </w:r>
    </w:p>
    <w:p w14:paraId="48A10D3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军品贸易公司违反本条例第十一条规定的，由国家军品出口主管部门责令限期改正，予以警告；逾期不改正的，处2万元以上10万元以下的罚款，暂停直至撤销其军品出口经营权。</w:t>
      </w:r>
    </w:p>
    <w:p w14:paraId="5BB1D85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违反本条例第二十二条第(四)项、第(五)项规定，触犯刑律的，依照刑法关于非法经营罪，伪造、变造、买卖国家机关公文、证件、印章罪或者其他罪的规定，依法追究刑事责任；尚不够刑事处罚的，由国家军品出口主管部门予以警告，没收违法所得，并处违法所得1倍以上3倍以下的罚款，没有违法所得或者违法所得不足10万元的，处10万元以上30万元以下的罚款，暂停直至撤销其军品出口经营权。</w:t>
      </w:r>
    </w:p>
    <w:p w14:paraId="69AD055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军品贸易公司违反本条例第二十二条第(一)项、第(二)项、第(三)项规定或者其他法律、行政法规规定的，由国家有关主管部门依照有关法律和行政法规的规定予以处罚，国家军品出口主管部门并可以暂停直至撤销其军品出口经营权；触犯刑律的，依照刑法有关规定，依法追究刑事责任。</w:t>
      </w:r>
    </w:p>
    <w:p w14:paraId="6D9263E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</w:t>
      </w:r>
      <w:r>
        <w:rPr>
          <w:rFonts w:ascii="Times New Roman" w:hAnsi="Times New Roman" w:eastAsia="仿宋_GB2312" w:cs="Times New Roman"/>
          <w:sz w:val="32"/>
          <w:szCs w:val="32"/>
        </w:rPr>
        <w:t>　违反本条例第二十条规定的，由国家军品出口主管部门取缔非法活动；触犯刑律的，依照刑法关于非法经营罪或者其他罪的规定，依法追究刑事责任；尚不够刑事处罚的，由国家军品出口主管部门予以警告，没收违法所得，并处违法所得1倍以上5倍以下的罚款，没有违法所得或者违法所得不足10万元的，处10万元以上50万元以下的罚款。</w:t>
      </w:r>
    </w:p>
    <w:p w14:paraId="5D557BD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军品贸易公司对国家军品出口主管部门作出的具体行政行为不服的，应当先依法申请行政复议；对行政复议决定仍不服的，可以依法向人民法院提起行政诉讼。</w:t>
      </w:r>
    </w:p>
    <w:p w14:paraId="31F4095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第二十八条</w:t>
      </w:r>
      <w:r>
        <w:rPr>
          <w:rFonts w:ascii="Times New Roman" w:hAnsi="Times New Roman" w:eastAsia="仿宋_GB2312" w:cs="Times New Roman"/>
          <w:sz w:val="32"/>
          <w:szCs w:val="32"/>
        </w:rPr>
        <w:t>　国家军品出口管理工作人员滥用职权、玩忽职守或者利用职务上的便利收受、索取他人财物，触犯刑律的，依照刑法关于滥用职权罪、玩忽职守罪、受贿罪或者其他罪的规定，依法追究刑事责任；尚不够刑事处罚的，依法给予行政处分。</w:t>
      </w:r>
    </w:p>
    <w:p w14:paraId="4DAA0E85">
      <w:pPr>
        <w:pStyle w:val="3"/>
        <w:bidi w:val="0"/>
      </w:pPr>
      <w:r>
        <w:t>第六章　附则</w:t>
      </w:r>
    </w:p>
    <w:p w14:paraId="54ACCCD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第二十九条</w:t>
      </w:r>
      <w:r>
        <w:rPr>
          <w:rFonts w:ascii="Times New Roman" w:hAnsi="Times New Roman" w:eastAsia="仿宋_GB2312" w:cs="Times New Roman"/>
          <w:sz w:val="32"/>
          <w:szCs w:val="32"/>
        </w:rPr>
        <w:t>　警用装备的出口适用本条例。</w:t>
      </w:r>
    </w:p>
    <w:p w14:paraId="25942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</w:pPr>
      <w:r>
        <w:rPr>
          <w:rFonts w:ascii="Times New Roman" w:hAnsi="Times New Roman" w:eastAsia="黑体" w:cs="Times New Roman"/>
          <w:sz w:val="32"/>
          <w:szCs w:val="32"/>
        </w:rPr>
        <w:t>第三十条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84B2F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A281774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281774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7F7BAD"/>
    <w:rsid w:val="09B60066"/>
    <w:rsid w:val="0AFA75A2"/>
    <w:rsid w:val="0B3D0578"/>
    <w:rsid w:val="0D3C4224"/>
    <w:rsid w:val="0DFE10B9"/>
    <w:rsid w:val="134A1994"/>
    <w:rsid w:val="155E2CB3"/>
    <w:rsid w:val="18413C16"/>
    <w:rsid w:val="19DB6C33"/>
    <w:rsid w:val="1C9212F7"/>
    <w:rsid w:val="20D86240"/>
    <w:rsid w:val="22DD4281"/>
    <w:rsid w:val="26CA1A3A"/>
    <w:rsid w:val="28F8723D"/>
    <w:rsid w:val="2DBE0D65"/>
    <w:rsid w:val="2FF20DF5"/>
    <w:rsid w:val="30BF73C1"/>
    <w:rsid w:val="32252208"/>
    <w:rsid w:val="33C65EBD"/>
    <w:rsid w:val="33CF5811"/>
    <w:rsid w:val="386D21AD"/>
    <w:rsid w:val="3A7915E5"/>
    <w:rsid w:val="3BA0652C"/>
    <w:rsid w:val="3CDF39C7"/>
    <w:rsid w:val="3CF81F11"/>
    <w:rsid w:val="3D762392"/>
    <w:rsid w:val="3F800236"/>
    <w:rsid w:val="3F8C783C"/>
    <w:rsid w:val="40DC5AC3"/>
    <w:rsid w:val="41B857FD"/>
    <w:rsid w:val="4361706F"/>
    <w:rsid w:val="43CA1521"/>
    <w:rsid w:val="444B0E8A"/>
    <w:rsid w:val="47A250A3"/>
    <w:rsid w:val="48521E33"/>
    <w:rsid w:val="49716702"/>
    <w:rsid w:val="4CCC5220"/>
    <w:rsid w:val="4CE9065E"/>
    <w:rsid w:val="4DC87E21"/>
    <w:rsid w:val="4EDF3D2B"/>
    <w:rsid w:val="4EED79F5"/>
    <w:rsid w:val="5080370D"/>
    <w:rsid w:val="523F45D1"/>
    <w:rsid w:val="53BF5C69"/>
    <w:rsid w:val="53DA0A43"/>
    <w:rsid w:val="575D4E2E"/>
    <w:rsid w:val="58035B31"/>
    <w:rsid w:val="58F6185E"/>
    <w:rsid w:val="591257DC"/>
    <w:rsid w:val="5DB22BFD"/>
    <w:rsid w:val="5DD739B2"/>
    <w:rsid w:val="5E900D37"/>
    <w:rsid w:val="5F5011B7"/>
    <w:rsid w:val="60492E1B"/>
    <w:rsid w:val="61152047"/>
    <w:rsid w:val="620467BA"/>
    <w:rsid w:val="622D2BEC"/>
    <w:rsid w:val="63DD0DD3"/>
    <w:rsid w:val="649C0E8F"/>
    <w:rsid w:val="65BF6566"/>
    <w:rsid w:val="665D25F4"/>
    <w:rsid w:val="6A403C00"/>
    <w:rsid w:val="6B4C7D1B"/>
    <w:rsid w:val="6DA577A5"/>
    <w:rsid w:val="6DB87D30"/>
    <w:rsid w:val="6E804287"/>
    <w:rsid w:val="762C29D0"/>
    <w:rsid w:val="769B60FD"/>
    <w:rsid w:val="76C10F77"/>
    <w:rsid w:val="77D8678E"/>
    <w:rsid w:val="7814798C"/>
    <w:rsid w:val="7819740D"/>
    <w:rsid w:val="78ED2B64"/>
    <w:rsid w:val="7A4B0114"/>
    <w:rsid w:val="7A6D55E9"/>
    <w:rsid w:val="7C0E15E2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2025-06-29T10:42:05Z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54196C62CDBF45558676FBAC6FD553FF_12</vt:lpwstr>
  </property>
</Properties>
</file>