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1075D">
      <w:pPr>
        <w:pStyle w:val="2"/>
        <w:jc w:val="center"/>
        <w:rPr>
          <w:rFonts w:hint="eastAsia" w:ascii="Times New Roman" w:hAnsi="Times New Roman" w:cs="Times New Roman"/>
          <w:sz w:val="44"/>
          <w:szCs w:val="44"/>
        </w:rPr>
      </w:pPr>
      <w:bookmarkStart w:id="0" w:name="_GoBack"/>
      <w:bookmarkEnd w:id="0"/>
    </w:p>
    <w:p w14:paraId="3CC21B08">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台湾同胞投资</w:t>
      </w:r>
    </w:p>
    <w:p w14:paraId="730164CB">
      <w:pPr>
        <w:pStyle w:val="2"/>
        <w:jc w:val="center"/>
        <w:rPr>
          <w:rFonts w:ascii="Times New Roman" w:hAnsi="Times New Roman" w:cs="Times New Roman"/>
          <w:sz w:val="44"/>
          <w:szCs w:val="44"/>
        </w:rPr>
      </w:pPr>
      <w:r>
        <w:rPr>
          <w:rFonts w:ascii="Times New Roman" w:hAnsi="Times New Roman" w:cs="Times New Roman"/>
          <w:sz w:val="44"/>
          <w:szCs w:val="44"/>
        </w:rPr>
        <w:t>保护法实施细则</w:t>
      </w:r>
    </w:p>
    <w:p w14:paraId="6B93E5E4">
      <w:pPr>
        <w:pStyle w:val="2"/>
        <w:ind w:firstLine="640" w:firstLineChars="200"/>
        <w:rPr>
          <w:rFonts w:hint="eastAsia" w:ascii="Times New Roman" w:hAnsi="Times New Roman" w:eastAsia="楷体_GB2312" w:cs="Times New Roman"/>
          <w:sz w:val="32"/>
          <w:szCs w:val="32"/>
        </w:rPr>
      </w:pPr>
    </w:p>
    <w:p w14:paraId="07C1B9EE">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CE6B165">
      <w:pPr>
        <w:pStyle w:val="2"/>
        <w:ind w:firstLine="640" w:firstLineChars="200"/>
        <w:rPr>
          <w:rFonts w:ascii="Times New Roman" w:hAnsi="Times New Roman" w:cs="Times New Roman"/>
          <w:sz w:val="32"/>
          <w:szCs w:val="32"/>
        </w:rPr>
      </w:pPr>
    </w:p>
    <w:p w14:paraId="3453002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为了保护和鼓励台湾同胞投资，促进海峡两岸的经济发展，实施《</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台湾同胞投资保护法》，制定本实施细则。</w:t>
      </w:r>
    </w:p>
    <w:p w14:paraId="7861D8B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本实施细则所称台湾同胞投资是指台湾地区的公司、企业、其他经济组织或者个人作为投资者在其他省、自治区</w:t>
      </w:r>
      <w:r>
        <w:rPr>
          <w:rFonts w:hint="eastAsia" w:ascii="仿宋_GB2312" w:hAnsi="仿宋_GB2312" w:eastAsia="仿宋_GB2312" w:cs="仿宋_GB2312"/>
          <w:sz w:val="32"/>
          <w:szCs w:val="32"/>
        </w:rPr>
        <w:t>和直辖市(以下简称大陆)的</w:t>
      </w:r>
      <w:r>
        <w:rPr>
          <w:rFonts w:ascii="Times New Roman" w:hAnsi="Times New Roman" w:eastAsia="仿宋_GB2312" w:cs="Times New Roman"/>
          <w:sz w:val="32"/>
          <w:szCs w:val="32"/>
        </w:rPr>
        <w:t>投资。</w:t>
      </w:r>
    </w:p>
    <w:p w14:paraId="1D8F118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国家依法保护台湾同胞投资。</w:t>
      </w:r>
    </w:p>
    <w:p w14:paraId="40E2CB1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台湾同胞投资者的投资、投资收益和其他合法权益受国家法律保护，任何机关、单位或者个人不得侵占、损害。</w:t>
      </w:r>
    </w:p>
    <w:p w14:paraId="36EA4A5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国家依法鼓励台湾同胞投资。</w:t>
      </w:r>
    </w:p>
    <w:p w14:paraId="2040FC2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台湾同胞投资依照国家有关法律、行政法规和本实施细则的规定，享受优惠待遇。</w:t>
      </w:r>
    </w:p>
    <w:p w14:paraId="62CC1F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台湾同胞投资适用《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台湾同胞投资保护法》和本实施细则；《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台湾同胞投资保护法》和本实施细则未规定的，比照适用国家有关涉外经济法律、行政法规。</w:t>
      </w:r>
    </w:p>
    <w:p w14:paraId="749361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台湾同胞投资，应当与国家国民经济和社会发展规划相适应，符合国家产业政策和投资导向的要求，比照适用国家关于指导外商投资方向的规定。</w:t>
      </w:r>
    </w:p>
    <w:p w14:paraId="2CBE8D7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台湾同胞投资者可以用可自由兑换货币、机器设备或者其他实物、工业产权、非专利技术等作为投资。</w:t>
      </w:r>
    </w:p>
    <w:p w14:paraId="79CB185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台湾同胞投资者可以用投资获得的收益进行再投资。</w:t>
      </w:r>
    </w:p>
    <w:p w14:paraId="1365F08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台湾同胞投资，可以依法采用下列投资形式：</w:t>
      </w:r>
    </w:p>
    <w:p w14:paraId="12DFC560">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(一)举办全部或者部分由台湾同胞投资者投资的企业（以下简称台湾同胞投资企业）；</w:t>
      </w:r>
    </w:p>
    <w:p w14:paraId="3CC6C3E3">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(二)合作勘探开发自然资源；</w:t>
      </w:r>
    </w:p>
    <w:p w14:paraId="637283F1">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(三)开展补偿贸易、加工装配、合作生产；</w:t>
      </w:r>
    </w:p>
    <w:p w14:paraId="33474273">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(四)购买企业的股票、债券；</w:t>
      </w:r>
    </w:p>
    <w:p w14:paraId="07CBBC0C">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(五)购置房产；</w:t>
      </w:r>
    </w:p>
    <w:p w14:paraId="2F283EC5">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(六)取得土地使用权，开发经营；</w:t>
      </w:r>
    </w:p>
    <w:p w14:paraId="78B4E890">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(七)购买国有小型企业或者集体企业、私营企业；</w:t>
      </w:r>
    </w:p>
    <w:p w14:paraId="567A5011">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(八)法律、行政法规允许的其他投资形式。</w:t>
      </w:r>
    </w:p>
    <w:p w14:paraId="768909B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台湾同胞投资者进行投资，需要审批的，依照国家有关法律、行政法规规定的程序办理审批手续。</w:t>
      </w:r>
    </w:p>
    <w:p w14:paraId="4BB850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审批机关审批台湾同胞投资，应当提高办事效率，减少管理层次，简化审批程序，做到管理制度统一、公开、透明。</w:t>
      </w:r>
    </w:p>
    <w:p w14:paraId="6D3223F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台湾同胞投资企业依照国家有关法律、行政法规的规定，享受税收优惠待遇。</w:t>
      </w:r>
    </w:p>
    <w:p w14:paraId="700B9A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投资于大陆中西部地区的台湾同胞投资项目，可以按照国家有关规定给予鼓励或者适当放宽限制。</w:t>
      </w:r>
    </w:p>
    <w:p w14:paraId="0F62697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台湾同胞投资企业符合贷款原则的，可以按照国家有关规定给予必要的信贷支持。</w:t>
      </w:r>
    </w:p>
    <w:p w14:paraId="251B361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及其随行家属和台湾同胞投资企业中的台湾同胞职工及其随行家属，可以依照国家有关法律、行政法规的规定，向公安机关申请办理一定期限多次入出境手续和相应期限的暂住手续。台湾同胞投资企业中的外籍职工的入出境和暂住手续，依照国家有关法律、行政法规的规定办理。</w:t>
      </w:r>
    </w:p>
    <w:p w14:paraId="1BA9550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台湾同胞投资者个人的子女和台湾同胞投资企业中的台湾同胞职工的子女，可以按照国家有关规定进入大陆的小学、中学和高等学校接受教育。</w:t>
      </w:r>
    </w:p>
    <w:p w14:paraId="5098474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台湾同胞投资者或者台湾同胞投资企业协会在台湾同胞投资集中的地区，可以按照国家有关规定申请设立台湾同胞子女学校。经批准设立的台湾同胞子女学校应当接受教育行政部门的监督。</w:t>
      </w:r>
    </w:p>
    <w:p w14:paraId="1694719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台湾同胞投资企业依法享有经营管理的自主权。</w:t>
      </w:r>
    </w:p>
    <w:p w14:paraId="7EA3CB6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台湾同胞投资企业经营管理的自主权受国家法律保护，不受任何机关、单位或者个人的非法干预和侵犯。</w:t>
      </w:r>
    </w:p>
    <w:p w14:paraId="386CA65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台湾同胞投资企业在购买机器设备、原材料及辅料等物资以及获得水、电、热、货物运输、劳务、广告、通信等服务方面，享有与大陆其他同类企业同等的待遇。</w:t>
      </w:r>
    </w:p>
    <w:p w14:paraId="25A6D7C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台湾同胞投资者个人和台湾同胞投资企业中的台湾同胞职工在交通、通信、旅游、旅馆住宿等方面，享有与大陆同胞同等的待遇。</w:t>
      </w:r>
    </w:p>
    <w:p w14:paraId="14B2E67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台湾同胞投资者投资的财产、工业产权、投资收益和其他合法权益，可以依法转让和继承。</w:t>
      </w:r>
    </w:p>
    <w:p w14:paraId="146868C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台湾同胞投资者依法获得的投资收益、其他合法收入和清算后的资金，可以依法汇回台湾或者汇往境外。</w:t>
      </w:r>
    </w:p>
    <w:p w14:paraId="7AAC690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台湾同胞投资企业中的台湾同胞职工的合法收入，可以依法汇回台湾或者汇往境外。</w:t>
      </w:r>
    </w:p>
    <w:p w14:paraId="41422B3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台湾同胞投资者可以委托亲友或者他人作为其投资的代理人，代理人应当持有具有法律效力的授权委托书。</w:t>
      </w:r>
    </w:p>
    <w:p w14:paraId="1777720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国家机关对台湾同胞投资企业收费的项目和标准，应当与大陆其他同类企业相同。任何机关或者单位不得对台湾同胞投资企业另立收费项目或者提高收费标准。</w:t>
      </w:r>
    </w:p>
    <w:p w14:paraId="43A33B5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机关或者单位不得向台湾同胞投资企业摊派人力、物力、财力，不得对台湾同胞投资企业进行法律、法规规定以外的检查、罚款，不得违反国家规定强制或者变相强制台湾同胞投资企业参加各类培训、评比、鉴定、考核等活动。</w:t>
      </w:r>
    </w:p>
    <w:p w14:paraId="4DBE6AB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台湾同胞投资企业对违反上述规定的行为，有权拒绝并向政府有关部门举报。接受举报的政府部门应当依法作出处理，并为举报人保密。</w:t>
      </w:r>
    </w:p>
    <w:p w14:paraId="2060733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台湾同胞投资者的投资不实行国有化和征收；在特殊情况下，根据社会公共利益的需要，对台湾同胞投资者的投资可以依照法律程序实行征收，并给予相应的补偿。补偿相当于该投资在征收决定前一刻的价值，包括从征收之日起至支付之日止按合理利率计算的利息，并可以依法兑换外汇、汇回台湾或者汇往境外。</w:t>
      </w:r>
    </w:p>
    <w:p w14:paraId="0A97EB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国家依法保护台湾同胞投资者个人及其随行家属和台湾同胞投资企业中的台湾同胞职工及其随行家属的人身自由和人身安全。除依照国家有关法律规定办理的外，不得对台湾同胞采取限制人身自由的强制措施。</w:t>
      </w:r>
    </w:p>
    <w:p w14:paraId="624CE75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在台湾同胞投资企业集中的地区，可以依法成立台湾同胞投资企业协会。</w:t>
      </w:r>
    </w:p>
    <w:p w14:paraId="59207B4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台湾同胞投资企业协会的合法权益以及按照其章程所进行的合法活动，受法律保护。</w:t>
      </w:r>
    </w:p>
    <w:p w14:paraId="5199E45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各级人民政府应当对台湾同胞投资提供优质、规范、方便的服务。各级人民政府台湾事务办事机构应当做好台湾同胞投资的法律宣传与咨询、投诉受理和纠纷解决等工作。</w:t>
      </w:r>
    </w:p>
    <w:p w14:paraId="24977C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台湾同胞投资者、台湾同胞投资企业、台湾同胞投资企业协会认为行政机关或者行政机关工作人员的具体行政行为侵犯其合法权益的，可以依照国家有关法律、行政法规的规定，申请行政复议或者提起行政诉讼。</w:t>
      </w:r>
    </w:p>
    <w:p w14:paraId="14CD395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台湾同胞投资者与大陆的公司、企业、其他经济组织或者个人之间发生的与投资有关的争议，当事人可以通过协商或者调解解决。</w:t>
      </w:r>
    </w:p>
    <w:p w14:paraId="4A9D57F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当事人不愿协商、调解的，或者经协商、调解不成的，可以依照合同中的仲裁条款或者事后达成的书面仲裁协议，提交中国的仲裁机构仲裁。大陆的仲裁机构可以按照国家有关规定聘请台湾同胞担任仲裁员。</w:t>
      </w:r>
    </w:p>
    <w:p w14:paraId="47B2410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当事人未在合同中订立仲裁条款，事后又未达成书面仲裁协议的，可以向人民法院提起诉讼。</w:t>
      </w:r>
    </w:p>
    <w:p w14:paraId="7982A93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台湾同胞以其设在其他国家或者地区的公司、企业或者其他经济组织作为投资者在大陆投资的，可以比照适用本实施细则。</w:t>
      </w:r>
    </w:p>
    <w:p w14:paraId="57E117A4">
      <w:pPr>
        <w:ind w:firstLine="640" w:firstLineChars="200"/>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58332">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6B95C4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CD298A"/>
    <w:rsid w:val="00261F47"/>
    <w:rsid w:val="00B27228"/>
    <w:rsid w:val="00ED63CE"/>
    <w:rsid w:val="05A70C14"/>
    <w:rsid w:val="09BD3F67"/>
    <w:rsid w:val="17217741"/>
    <w:rsid w:val="30475E4F"/>
    <w:rsid w:val="419C4B45"/>
    <w:rsid w:val="41AB2D2F"/>
    <w:rsid w:val="589D466C"/>
    <w:rsid w:val="59480839"/>
    <w:rsid w:val="5ECD298A"/>
    <w:rsid w:val="735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FollowedHyperlink"/>
    <w:basedOn w:val="6"/>
    <w:qFormat/>
    <w:uiPriority w:val="0"/>
    <w:rPr>
      <w:color w:val="000000"/>
      <w:u w:val="none"/>
    </w:rPr>
  </w:style>
  <w:style w:type="character" w:styleId="8">
    <w:name w:val="Hyperlink"/>
    <w:basedOn w:val="6"/>
    <w:qFormat/>
    <w:uiPriority w:val="0"/>
    <w:rPr>
      <w:color w:val="000000"/>
      <w:u w:val="none"/>
    </w:rPr>
  </w:style>
  <w:style w:type="character" w:styleId="9">
    <w:name w:val="HTML Code"/>
    <w:basedOn w:val="6"/>
    <w:qFormat/>
    <w:uiPriority w:val="0"/>
    <w:rPr>
      <w:rFonts w:ascii="Courier New" w:hAnsi="Courier New"/>
      <w:sz w:val="20"/>
    </w:rPr>
  </w:style>
  <w:style w:type="character" w:customStyle="1" w:styleId="10">
    <w:name w:val="more"/>
    <w:basedOn w:val="6"/>
    <w:qFormat/>
    <w:uiPriority w:val="0"/>
    <w:rPr>
      <w:color w:val="666666"/>
      <w:sz w:val="18"/>
      <w:szCs w:val="18"/>
    </w:rPr>
  </w:style>
  <w:style w:type="character" w:customStyle="1" w:styleId="11">
    <w:name w:val="bg02"/>
    <w:basedOn w:val="6"/>
    <w:qFormat/>
    <w:uiPriority w:val="0"/>
  </w:style>
  <w:style w:type="character" w:customStyle="1" w:styleId="12">
    <w:name w:val="dates"/>
    <w:basedOn w:val="6"/>
    <w:qFormat/>
    <w:uiPriority w:val="0"/>
  </w:style>
  <w:style w:type="character" w:customStyle="1" w:styleId="13">
    <w:name w:val="name"/>
    <w:basedOn w:val="6"/>
    <w:qFormat/>
    <w:uiPriority w:val="0"/>
    <w:rPr>
      <w:color w:val="6A6A6A"/>
      <w:u w:val="single"/>
    </w:rPr>
  </w:style>
  <w:style w:type="character" w:customStyle="1" w:styleId="14">
    <w:name w:val="m01"/>
    <w:basedOn w:val="6"/>
    <w:qFormat/>
    <w:uiPriority w:val="0"/>
  </w:style>
  <w:style w:type="character" w:customStyle="1" w:styleId="15">
    <w:name w:val="m011"/>
    <w:basedOn w:val="6"/>
    <w:qFormat/>
    <w:uiPriority w:val="0"/>
  </w:style>
  <w:style w:type="character" w:customStyle="1" w:styleId="16">
    <w:name w:val="tabg"/>
    <w:basedOn w:val="6"/>
    <w:qFormat/>
    <w:uiPriority w:val="0"/>
    <w:rPr>
      <w:color w:val="FFFFFF"/>
      <w:sz w:val="27"/>
      <w:szCs w:val="27"/>
    </w:rPr>
  </w:style>
  <w:style w:type="character" w:customStyle="1" w:styleId="17">
    <w:name w:val="laypage_curr"/>
    <w:basedOn w:val="6"/>
    <w:qFormat/>
    <w:uiPriority w:val="0"/>
    <w:rPr>
      <w:color w:val="FFFDF4"/>
      <w:shd w:val="clear" w:fill="0B67A6"/>
    </w:rPr>
  </w:style>
  <w:style w:type="character" w:customStyle="1" w:styleId="18">
    <w:name w:val="font"/>
    <w:basedOn w:val="6"/>
    <w:qFormat/>
    <w:uiPriority w:val="0"/>
  </w:style>
  <w:style w:type="character" w:customStyle="1" w:styleId="19">
    <w:name w:val="font1"/>
    <w:basedOn w:val="6"/>
    <w:qFormat/>
    <w:uiPriority w:val="0"/>
  </w:style>
  <w:style w:type="character" w:customStyle="1" w:styleId="20">
    <w:name w:val="bg01"/>
    <w:basedOn w:val="6"/>
    <w:qFormat/>
    <w:uiPriority w:val="0"/>
  </w:style>
  <w:style w:type="character" w:customStyle="1" w:styleId="21">
    <w:name w:val="hover16"/>
    <w:basedOn w:val="6"/>
    <w:qFormat/>
    <w:uiPriority w:val="0"/>
    <w:rPr>
      <w:color w:val="015293"/>
    </w:rPr>
  </w:style>
  <w:style w:type="character" w:customStyle="1" w:styleId="22">
    <w:name w:val="more4"/>
    <w:basedOn w:val="6"/>
    <w:qFormat/>
    <w:uiPriority w:val="0"/>
    <w:rPr>
      <w:color w:val="666666"/>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441</Words>
  <Characters>2519</Characters>
  <Lines>20</Lines>
  <Paragraphs>5</Paragraphs>
  <TotalTime>5</TotalTime>
  <ScaleCrop>false</ScaleCrop>
  <LinksUpToDate>false</LinksUpToDate>
  <CharactersWithSpaces>2955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2025-06-29T10:45:19Z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A3F49B84A93143839AA0515DB0A85A90_12</vt:lpwstr>
  </property>
</Properties>
</file>