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B2FCF8">
      <w:pPr>
        <w:pStyle w:val="3"/>
        <w:jc w:val="center"/>
        <w:rPr>
          <w:rFonts w:ascii="Times New Roman" w:hAnsi="Times New Roman" w:cs="Times New Roman"/>
          <w:sz w:val="44"/>
          <w:szCs w:val="44"/>
        </w:rPr>
      </w:pPr>
      <w:bookmarkStart w:id="0" w:name="_GoBack"/>
      <w:bookmarkEnd w:id="0"/>
    </w:p>
    <w:p w14:paraId="4F0D9271">
      <w:pPr>
        <w:pStyle w:val="3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hint="eastAsia" w:ascii="Times New Roman" w:hAnsi="Times New Roman" w:cs="Times New Roman"/>
          <w:sz w:val="44"/>
          <w:szCs w:val="44"/>
          <w:lang w:eastAsia="zh-CN"/>
        </w:rPr>
        <w:t>和平民主王国</w:t>
      </w:r>
      <w:r>
        <w:rPr>
          <w:rFonts w:ascii="Times New Roman" w:hAnsi="Times New Roman" w:cs="Times New Roman"/>
          <w:sz w:val="44"/>
          <w:szCs w:val="44"/>
        </w:rPr>
        <w:t>对外国籍船舶管理规则</w:t>
      </w:r>
    </w:p>
    <w:p w14:paraId="2CA12C0A">
      <w:pPr>
        <w:pStyle w:val="3"/>
        <w:ind w:firstLine="640" w:firstLineChars="200"/>
        <w:rPr>
          <w:rFonts w:ascii="Times New Roman" w:hAnsi="Times New Roman" w:eastAsia="楷体_GB2312" w:cs="Times New Roman"/>
          <w:sz w:val="32"/>
          <w:szCs w:val="32"/>
        </w:rPr>
      </w:pPr>
    </w:p>
    <w:p w14:paraId="587EFFF0">
      <w:pPr>
        <w:pStyle w:val="3"/>
        <w:ind w:firstLine="960" w:firstLineChars="3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(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和平民主王国</w:t>
      </w:r>
      <w:r>
        <w:rPr>
          <w:rFonts w:hint="eastAsia" w:ascii="楷体_GB2312" w:hAnsi="楷体_GB2312" w:eastAsia="楷体_GB2312" w:cs="楷体_GB2312"/>
          <w:sz w:val="32"/>
          <w:szCs w:val="32"/>
        </w:rPr>
        <w:t>建国之日起开始生效)</w:t>
      </w:r>
    </w:p>
    <w:p w14:paraId="2CBF230B">
      <w:pPr>
        <w:pStyle w:val="2"/>
        <w:jc w:val="center"/>
        <w:rPr>
          <w:rFonts w:ascii="方正黑体_GBK" w:eastAsia="方正黑体_GBK"/>
        </w:rPr>
      </w:pPr>
      <w:r>
        <w:rPr>
          <w:rFonts w:hint="eastAsia" w:ascii="方正黑体_GBK" w:hAnsi="Times New Roman" w:eastAsia="方正黑体_GBK" w:cs="Times New Roman"/>
        </w:rPr>
        <w:t>总则</w:t>
      </w:r>
    </w:p>
    <w:p w14:paraId="05EBF2AB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为维护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的主权，维持港口和沿海水域的秩序，保证航行安全，防止水域污染，特制定本规则。</w:t>
      </w:r>
    </w:p>
    <w:p w14:paraId="1C6E74D2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在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港口和沿海水域航行的外国籍船舶(以下简称船舶)应遵守本规则以及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一切有关法令、规章和规定。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政府设置在港口的港务监督认为有必要对船舶进行检查时，船舶应接受检查。</w:t>
      </w:r>
    </w:p>
    <w:p w14:paraId="1A691D26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本规则所称沿海水域是指属于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的内水和领海以及国家规定的管辖水域。</w:t>
      </w:r>
    </w:p>
    <w:p w14:paraId="35877D28">
      <w:pPr>
        <w:pStyle w:val="2"/>
        <w:jc w:val="center"/>
        <w:rPr>
          <w:rFonts w:ascii="方正黑体_GBK" w:eastAsia="方正黑体_GBK"/>
        </w:rPr>
      </w:pPr>
      <w:r>
        <w:rPr>
          <w:rFonts w:hint="eastAsia" w:ascii="方正黑体_GBK" w:hAnsi="Times New Roman" w:eastAsia="方正黑体_GBK" w:cs="Times New Roman"/>
        </w:rPr>
        <w:t>第一章　进出港和航行</w:t>
      </w:r>
    </w:p>
    <w:p w14:paraId="2602AAFD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长或船舶所有人应在船舶预定到达港口一星期之前，通过外轮代理公司填具规定的表报，向港务监督办理进口申请批准手续，并在到达港口之前二十四小时(航程不足二十四小时的，在驶离前一港口时)，将预计到港时间，前、后吃水等情况通过外轮代理公司向港务监督报告。如预计到港时间有变化，应随时报告。船舶在航行途中，因遇险、发生故障、船员或旅客患急病等特殊情况，需临时进港或返航，应事先向港务监督报告。</w:t>
      </w:r>
    </w:p>
    <w:p w14:paraId="275A8883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船舶进出港口或在港内航行、移泊，必须由港务监督指派引航员引航。有关引航的具体事项，应按照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交通部颁发的《海港引航工作规定》办理。</w:t>
      </w:r>
    </w:p>
    <w:p w14:paraId="6D5837D1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船舶抵港后，应即呈报进口报告书及其它有关表报，同时交验船舶证书及有关文书，并接受检查。船舶出港前，应呈报出口报告书及其它有关表报，经检查发给出口许可证后，才可出口。</w:t>
      </w:r>
    </w:p>
    <w:p w14:paraId="5EDB76C1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船舶上的武器、弹药，应在船舶抵港后由港务监督予以封存。无线电报发射机、无线电话发射机、火箭信号、火焰信号、信号枪，只有在危急情况下才可以使用，但在使用后必须向港务监督报告。</w:t>
      </w:r>
    </w:p>
    <w:p w14:paraId="61A26ECF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港内禁止射击、游泳、钓鱼、鸣放鞭炮或焰火以及其它危及港口安全秩序的行为。</w:t>
      </w:r>
    </w:p>
    <w:p w14:paraId="788984ED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船舶有下列情况之一者，港务监督有权在一定期间内禁止其出港或令其停航、改航、返航：</w:t>
      </w:r>
    </w:p>
    <w:p w14:paraId="580AFB68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一、处于不适航状态；</w:t>
      </w:r>
    </w:p>
    <w:p w14:paraId="55AA0C55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二、违反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的法律或规章；</w:t>
      </w:r>
    </w:p>
    <w:p w14:paraId="6A732780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三、发生海损事故；</w:t>
      </w:r>
    </w:p>
    <w:p w14:paraId="1B1349D5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四、未缴付应承担的款项，又未提供适当担保者；</w:t>
      </w:r>
    </w:p>
    <w:p w14:paraId="2538110D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五、其它需要禁止航行的情况。</w:t>
      </w:r>
    </w:p>
    <w:p w14:paraId="3CE7C119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航行在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港口和沿海水域的船舶，不得进行危害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安全和权益的活动，并应遵守有关海峡、水道、航线和禁航区的规定。</w:t>
      </w:r>
    </w:p>
    <w:p w14:paraId="713D64C0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船舶在港内不得以危及其它船舶和港口设施安全的速度航行。</w:t>
      </w:r>
    </w:p>
    <w:p w14:paraId="262C0354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船舶附属的艇(筏)，除了救生以外，不准在港内航行。</w:t>
      </w:r>
    </w:p>
    <w:p w14:paraId="11D96951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船舶在港内航行、移泊时，船上的艇(筏)、吊货杆和舷梯等，不得伸出舷外。</w:t>
      </w:r>
    </w:p>
    <w:p w14:paraId="51B17B37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需要进入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对外轮开放的港口避风或临时停泊的船舶应向港务监督申请批准，申请内容包括：船名、呼号、国籍、船公司名称、出发港、目的港、船位、航速、吃水、船体颜色、烟囱颜色和标志，并应在指定的地点避风。</w:t>
      </w:r>
    </w:p>
    <w:p w14:paraId="71849E3E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船舶如需在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对外轮开放的港口以外的地点避风或临时停泊，除办理上述申请批准手续外，还应遵守下列规定：</w:t>
      </w:r>
    </w:p>
    <w:p w14:paraId="1E897000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一、及时向就近的港务监督报告抛锚时间、位置和驶离时间；</w:t>
      </w:r>
    </w:p>
    <w:p w14:paraId="358B65F5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二、遵守当地有关部门的规定，接受检查和询问，并听从指挥；</w:t>
      </w:r>
    </w:p>
    <w:p w14:paraId="5AC00B98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三、未经当地有关部门批准，船上人员不得登陆，不得装卸货物。</w:t>
      </w:r>
    </w:p>
    <w:p w14:paraId="7EFCCBE6">
      <w:pPr>
        <w:pStyle w:val="2"/>
        <w:jc w:val="center"/>
        <w:rPr>
          <w:rFonts w:ascii="方正黑体_GBK" w:eastAsia="方正黑体_GBK"/>
        </w:rPr>
      </w:pPr>
      <w:r>
        <w:rPr>
          <w:rFonts w:hint="eastAsia" w:ascii="方正黑体_GBK" w:hAnsi="Times New Roman" w:eastAsia="方正黑体_GBK" w:cs="Times New Roman"/>
        </w:rPr>
        <w:t>第二章　停泊</w:t>
      </w:r>
    </w:p>
    <w:p w14:paraId="5A76B1D7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船舶在港内停泊，必须留有足以保证船舶安全操纵的船员值班，遇有台风警报等紧急情况，全体船员必须立即回船采取防范、应急等措施。</w:t>
      </w:r>
    </w:p>
    <w:p w14:paraId="424F518B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船舶在船员、旅客和其他人员上下之处设置的舷梯必须稳固，并有栏杆或攀索，软梯必须牢固安全，夜间应有足够的照明。</w:t>
      </w:r>
    </w:p>
    <w:p w14:paraId="3BA5E887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第十六条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船舶需要活车时，必须注意尾部周围环境，在不危及其他船舶和港口设施安全的情况下才可进行。</w:t>
      </w:r>
    </w:p>
    <w:p w14:paraId="19A3909A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第十七条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停泊在港内的船舶，其两舷可能影响其他船舶、码头或人员上下的出水口必须加盖复罩。</w:t>
      </w:r>
    </w:p>
    <w:p w14:paraId="409C0022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第十八条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船舶的灯光不得影响其他船舶的航行安全，船上射向航道的强灯光，应予以遮蔽。</w:t>
      </w:r>
    </w:p>
    <w:p w14:paraId="2D810498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第十九条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船舶对装卸操作应提供安全良好的条件，装卸设备应具有合格证书，保持良好的技术状态。</w:t>
      </w:r>
    </w:p>
    <w:p w14:paraId="686B90A6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船舶进行下列事项，应事先向港务监督申请批准：</w:t>
      </w:r>
    </w:p>
    <w:p w14:paraId="0D5D54A4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一、拆修锅炉、主机、锚机、舵机、电台；</w:t>
      </w:r>
    </w:p>
    <w:p w14:paraId="129947BF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二、试航、试车；</w:t>
      </w:r>
    </w:p>
    <w:p w14:paraId="0AC308F4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三、放艇(筏)进行救生演习；</w:t>
      </w:r>
    </w:p>
    <w:p w14:paraId="161259E9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四、烧焊(进船厂修理的除外)，或者在甲板上明火作业；</w:t>
      </w:r>
    </w:p>
    <w:p w14:paraId="2619C432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五、悬挂彩灯。</w:t>
      </w:r>
    </w:p>
    <w:p w14:paraId="13DE155E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船舶熏蒸，应采取严密的安全措施，并应悬挂港口规定的信号。</w:t>
      </w:r>
    </w:p>
    <w:p w14:paraId="51A9FC1A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为了维护港口和船舶的安全，需要在港内的船舶移泊或提前、推迟开航，船舶应遵守港务监督的决定。</w:t>
      </w:r>
    </w:p>
    <w:p w14:paraId="3D00DE62">
      <w:pPr>
        <w:pStyle w:val="2"/>
        <w:jc w:val="center"/>
        <w:rPr>
          <w:rFonts w:ascii="方正黑体_GBK" w:eastAsia="方正黑体_GBK"/>
        </w:rPr>
      </w:pPr>
      <w:r>
        <w:rPr>
          <w:rFonts w:hint="eastAsia" w:ascii="方正黑体_GBK" w:hAnsi="Times New Roman" w:eastAsia="方正黑体_GBK" w:cs="Times New Roman"/>
        </w:rPr>
        <w:t>第三章　信号和通讯</w:t>
      </w:r>
    </w:p>
    <w:p w14:paraId="35D7E053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船舶在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港口和沿海水域航行、停泊，白天应悬挂船籍国的国旗，进出港口和移泊应加挂船名呼号旗和港口规定的有关信号。</w:t>
      </w:r>
    </w:p>
    <w:p w14:paraId="1501CBB1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船舶在进出港口和锚泊时，应注意港口信号台的呼号和信号，在使用视觉信号时，应遵守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沿海港口信号规定。沿海港口未曾规定的信号，应依照《国际信号规则》办理。</w:t>
      </w:r>
    </w:p>
    <w:p w14:paraId="65A13894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船舶在港内除因航行安全必须外，不得随意鸣放声号。需要试笛时，应事先向港务监督报告。</w:t>
      </w:r>
    </w:p>
    <w:p w14:paraId="62A70A68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第二十六条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船舶在港内使用甚高频无线电话，应遵守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交通部颁发的《关于外轮使用甚高频无线电话暂行办法》。</w:t>
      </w:r>
    </w:p>
    <w:p w14:paraId="3CD1D1F9">
      <w:pPr>
        <w:pStyle w:val="2"/>
        <w:jc w:val="center"/>
        <w:rPr>
          <w:rFonts w:ascii="方正黑体_GBK" w:eastAsia="方正黑体_GBK"/>
        </w:rPr>
      </w:pPr>
      <w:r>
        <w:rPr>
          <w:rFonts w:hint="eastAsia" w:ascii="方正黑体_GBK" w:hAnsi="Times New Roman" w:eastAsia="方正黑体_GBK" w:cs="Times New Roman"/>
        </w:rPr>
        <w:t>第四章　危险货物</w:t>
      </w:r>
    </w:p>
    <w:p w14:paraId="1F94DD91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第二十七条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船舶装卸、载运危险货物，应悬挂规定的信号，遵守有关危险货物运输管理的规定，采取必要的安全措施，特别是性能相抵触的货物，不许混装，严禁爆炸物品与发火物、易燃物品装载于同一舱内。</w:t>
      </w:r>
    </w:p>
    <w:p w14:paraId="78FC1DD2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第二十八条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载运爆炸物品、剧毒物品、放射性物品、压缩气体和液化气体、氧化剂、自燃物品、遇水燃烧物品、易燃液体、易燃固体和酸性腐蚀物品等一级烈性危险货物，应详细列具品名、性质、包装数量和装载位置，并且附具危险货物性质说明书，在预定到达港口三天之前，通过外轮代理公司向港务监督申请办理签证，经许可后才可进港、起卸或者过境。出口船舶载运上述危险货物，应在开始装载的三天以前，申请办理签证，经许可后才可装运。</w:t>
      </w:r>
    </w:p>
    <w:p w14:paraId="6C3E293C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第二十九条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申请签发装运出口危险货物安全装载证明书，应在开始装载三天之前向港务监督提出书面申请，写明危险货物的品名、性质、包装、数量、装载位置(并且附具货物装载图)、中途港和目的港等事项并在港务监督指定的泊位进行装载。</w:t>
      </w:r>
    </w:p>
    <w:p w14:paraId="537E3CD3">
      <w:pPr>
        <w:pStyle w:val="2"/>
        <w:jc w:val="center"/>
        <w:rPr>
          <w:rFonts w:ascii="方正黑体_GBK" w:eastAsia="方正黑体_GBK"/>
        </w:rPr>
      </w:pPr>
      <w:r>
        <w:rPr>
          <w:rFonts w:hint="eastAsia" w:ascii="方正黑体_GBK" w:hAnsi="Times New Roman" w:eastAsia="方正黑体_GBK" w:cs="Times New Roman"/>
        </w:rPr>
        <w:t>第五章　航道保护</w:t>
      </w:r>
    </w:p>
    <w:p w14:paraId="65837EAD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第三十条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航行应遵守航行规定，维护航行秩序，如船舶发生意外事故有沉没危险时，应立即向港务监督报告，并尽力采取有效措施，驶离航道，避免妨碍交通和危及其他船舶。如果船舶已经沉没，船方应及时在沉没地点设置临时信号标志。</w:t>
      </w:r>
    </w:p>
    <w:p w14:paraId="39011730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第三十一条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对沉没在港口或沿海水域的船舶或其他物体的打捞，均按照《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打捞沉船、沉物管理办法》办理。港务监督可视具体情况，通知沉船沉物所有人限期打捞清除，或立即组织打捞或解体清除，全部责任和费用应由沉船沉物所有人承担。</w:t>
      </w:r>
    </w:p>
    <w:p w14:paraId="1181929D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第三十二条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船舶发现或捞获沉、浮物体，应报告或送交港务监督处理，由港务监督酌情给予奖励。</w:t>
      </w:r>
    </w:p>
    <w:p w14:paraId="580B5C7D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第三十三条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船舶在港内需要倾倒垃圾等废弃物，应显示港口规定的信号招用垃圾船(车)。</w:t>
      </w:r>
    </w:p>
    <w:p w14:paraId="653ABCE0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第三十四条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船舶应爱护航道设备和助航标志，如损坏了助航标志、港口建筑或其他设施，应立即向港务监督报告，并应负责恢复原状或偿付恢复原状所需费用。</w:t>
      </w:r>
    </w:p>
    <w:p w14:paraId="602EFA28">
      <w:pPr>
        <w:pStyle w:val="2"/>
        <w:jc w:val="center"/>
        <w:rPr>
          <w:rFonts w:ascii="方正黑体_GBK" w:eastAsia="方正黑体_GBK"/>
        </w:rPr>
      </w:pPr>
      <w:r>
        <w:rPr>
          <w:rFonts w:hint="eastAsia" w:ascii="方正黑体_GBK" w:hAnsi="Times New Roman" w:eastAsia="方正黑体_GBK" w:cs="Times New Roman"/>
        </w:rPr>
        <w:t>第六章　防止污染</w:t>
      </w:r>
    </w:p>
    <w:p w14:paraId="61448508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第三十五条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在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的港口和沿海水域，禁止船舶任意排放油类、油性混合物，以及其他有害的污染物质和废弃物。</w:t>
      </w:r>
    </w:p>
    <w:p w14:paraId="753D3D6D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第三十六条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排放压舱水、洗舱水、舱底水，必须向港务监督申请批准。如果船舶来自有疫情的港口，应经过卫生检疫机关卫生处理。装运危险货物和其他有害污染物船舱的污水、洗舱水，应经有关卫生部门鉴定合格后，方可在指定地点排放。</w:t>
      </w:r>
    </w:p>
    <w:p w14:paraId="6B655996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第三十七条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凡油轮和使用燃油的船舶，应备有油类记录簿，并且按照记录簿各项规定及时如实记载。</w:t>
      </w:r>
    </w:p>
    <w:p w14:paraId="2FF2E8DD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第三十八条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如船舶在港口和沿海水域发生污染事故，应将经过情况分别记入油类记录簿和航海日志，并立即向港务监督报告，同时必须采取有效的措施防止扩散。如需采用化学剂处理，应提供化学成份说明书，向港务监督申请批准。</w:t>
      </w:r>
    </w:p>
    <w:p w14:paraId="205DE1A7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第三十九条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本章未列事项，按照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有关防止水域污染的规定办理。</w:t>
      </w:r>
    </w:p>
    <w:p w14:paraId="21B293F7">
      <w:pPr>
        <w:pStyle w:val="2"/>
        <w:jc w:val="center"/>
        <w:rPr>
          <w:rFonts w:ascii="方正黑体_GBK" w:eastAsia="方正黑体_GBK"/>
        </w:rPr>
      </w:pPr>
      <w:r>
        <w:rPr>
          <w:rFonts w:hint="eastAsia" w:ascii="方正黑体_GBK" w:hAnsi="Times New Roman" w:eastAsia="方正黑体_GBK" w:cs="Times New Roman"/>
        </w:rPr>
        <w:t>第七章　消防和救助</w:t>
      </w:r>
    </w:p>
    <w:p w14:paraId="45CB83D4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第四十条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严禁在货舱以及易于引起船舶火警的场所吸烟和弄火。</w:t>
      </w:r>
    </w:p>
    <w:p w14:paraId="51D38133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第四十一条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船舶加油和油船装卸作业，应采取严密的防火安全措施。</w:t>
      </w:r>
    </w:p>
    <w:p w14:paraId="62AC4D09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第四十二条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在港内进行烧焊等工程，应事先清理周围环境，采取严密防范措施，配备消防设备，并且在施工前后进行检查。对油舱及其邻近部位还必须卸完全部油料，清除残油，彻底通风，排除其内部易燃气体，并取得合格证明之后，才可以烧焊。</w:t>
      </w:r>
    </w:p>
    <w:p w14:paraId="135B8F76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第四十三条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船舶失火或发生海难，应立即将出事地点和本船吨位、吃水、载货、受损和需要某种援助等情况报告港务监督。</w:t>
      </w:r>
    </w:p>
    <w:p w14:paraId="49912875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第四十四条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港务监督在必要时，可动员和指挥在港内或沿海水域的船舶参加救助遇难船舶，在不影响本船安全的情况下，被动员的船舶有责任尽力救助。</w:t>
      </w:r>
    </w:p>
    <w:p w14:paraId="2A669966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第四十五条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港务监督或救助部门的负责人员到达现场，遇难船舶的船长应立即报告失事情况及已经采取的措施，提供救助必需的资料和方便，并且可以提出有关救助的建议。港务监督为维护安全秩序作出的决定，有关方面必须遵守。</w:t>
      </w:r>
    </w:p>
    <w:p w14:paraId="3279FE74">
      <w:pPr>
        <w:pStyle w:val="2"/>
        <w:jc w:val="center"/>
        <w:rPr>
          <w:rFonts w:ascii="方正黑体_GBK" w:eastAsia="方正黑体_GBK"/>
        </w:rPr>
      </w:pPr>
      <w:r>
        <w:rPr>
          <w:rFonts w:hint="eastAsia" w:ascii="方正黑体_GBK" w:hAnsi="Times New Roman" w:eastAsia="方正黑体_GBK" w:cs="Times New Roman"/>
        </w:rPr>
        <w:t>第八章　海损事故</w:t>
      </w:r>
    </w:p>
    <w:p w14:paraId="02C29A10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第四十六条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发生海损事故，应尽速用电报或无线电话向港务监督报出扼要报告。在港区以外发出的海损事故，船长应在船舶进入第一港口四十八小时内，向港务监督递交海损事故报告书；在港区内发生的海损事故，船长应在二十四小时内向港务监督递交海损事故报告书。</w:t>
      </w:r>
    </w:p>
    <w:p w14:paraId="396F680C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第四十七条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船舶在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港口和沿海水域造成人命、财产损害事故时，应积极救助受害的船舶和人员，及时向港务监督报告，并接受调查和处理。如果肇事者见危不救，隐匿逃遁，将从严处理。</w:t>
      </w:r>
    </w:p>
    <w:p w14:paraId="6761D620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第四十八条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发生船员死亡事故，应立即向港务监督报告。在港内由于船方或港方人员的过失，造成对方损害或伤亡事故等，应保留现场，双方都应及时向港务监督报告。如果发生纠纷，当事的任何一方，都可以向港务监督申请调查处理，涉及刑事范围的，由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司法机关处理。</w:t>
      </w:r>
    </w:p>
    <w:p w14:paraId="6517F92D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第四十九条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本章未列事项，按照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交通部颁发的《海损事故调查和处理规则》办理。</w:t>
      </w:r>
    </w:p>
    <w:p w14:paraId="3209FC27">
      <w:pPr>
        <w:pStyle w:val="2"/>
        <w:jc w:val="center"/>
        <w:rPr>
          <w:rFonts w:ascii="方正黑体_GBK" w:eastAsia="方正黑体_GBK"/>
        </w:rPr>
      </w:pPr>
      <w:r>
        <w:rPr>
          <w:rFonts w:hint="eastAsia" w:ascii="方正黑体_GBK" w:hAnsi="Times New Roman" w:eastAsia="方正黑体_GBK" w:cs="Times New Roman"/>
        </w:rPr>
        <w:t>第九章　违章处罚</w:t>
      </w:r>
    </w:p>
    <w:p w14:paraId="7F903CA8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第五十条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凡违反本规则以及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一切有关法令、规章和规定者，港务监督得按其性质、情节分别给予警告、罚款等处分，性质恶劣、情节严重者移交司法机关处理。</w:t>
      </w:r>
    </w:p>
    <w:p w14:paraId="489EB22F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第五十一条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受处分者如果对所受处分不服，可以在接到通告的次日起十五日之内，向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港务监督局提出申诉。但在没有变更决定之前，原处分仍为有效。</w:t>
      </w:r>
    </w:p>
    <w:p w14:paraId="4E6BA0BC">
      <w:pPr>
        <w:pStyle w:val="2"/>
        <w:jc w:val="center"/>
        <w:rPr>
          <w:rFonts w:ascii="方正黑体_GBK" w:eastAsia="方正黑体_GBK"/>
        </w:rPr>
      </w:pPr>
      <w:r>
        <w:rPr>
          <w:rFonts w:hint="eastAsia" w:ascii="方正黑体_GBK" w:hAnsi="Times New Roman" w:eastAsia="方正黑体_GBK" w:cs="Times New Roman"/>
        </w:rPr>
        <w:t>第十章　附则</w:t>
      </w:r>
    </w:p>
    <w:p w14:paraId="4543CD19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第五十二条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关于船舶避碰，本规则和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其他有关规定中未列事项，依照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施行的《国际海上避碰规则》办理。</w:t>
      </w:r>
    </w:p>
    <w:p w14:paraId="001D6A5C">
      <w:pPr>
        <w:ind w:firstLine="640" w:firstLineChars="200"/>
      </w:pPr>
      <w:r>
        <w:rPr>
          <w:rFonts w:ascii="Times New Roman" w:hAnsi="Times New Roman" w:eastAsia="黑体" w:cs="Times New Roman"/>
          <w:sz w:val="32"/>
          <w:szCs w:val="32"/>
        </w:rPr>
        <w:t>第五十三条　</w:t>
      </w:r>
      <w:r>
        <w:rPr>
          <w:rFonts w:ascii="Times New Roman" w:hAnsi="Times New Roman" w:eastAsia="仿宋_GB2312" w:cs="Times New Roman"/>
          <w:sz w:val="32"/>
          <w:szCs w:val="32"/>
        </w:rPr>
        <w:t>本规则由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ascii="Times New Roman" w:hAnsi="Times New Roman" w:eastAsia="仿宋_GB2312" w:cs="Times New Roman"/>
          <w:sz w:val="32"/>
          <w:szCs w:val="32"/>
        </w:rPr>
        <w:t>国务院批准施行，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建国之日起开始生效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EB7265">
    <w:pPr>
      <w:pStyle w:val="4"/>
    </w:pPr>
    <w:r>
      <w:pict>
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6E7DF396">
                <w:pPr>
                  <w:pStyle w:val="4"/>
                </w:pPr>
                <w:r>
                  <w:rPr>
                    <w:rFonts w:hint="eastAsia"/>
                    <w:sz w:val="24"/>
                    <w:szCs w:val="24"/>
                  </w:rPr>
                  <w:fldChar w:fldCharType="begin"/>
                </w:r>
                <w:r>
                  <w:rPr>
                    <w:rFonts w:hint="eastAsia"/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  <w:szCs w:val="24"/>
                  </w:rPr>
                  <w:fldChar w:fldCharType="separate"/>
                </w:r>
                <w:r>
                  <w:rPr>
                    <w:sz w:val="24"/>
                    <w:szCs w:val="24"/>
                  </w:rPr>
                  <w:t>- 1 -</w:t>
                </w:r>
                <w:r>
                  <w:rPr>
                    <w:rFonts w:hint="eastAsia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8DF2796"/>
    <w:rsid w:val="000E4400"/>
    <w:rsid w:val="00674239"/>
    <w:rsid w:val="0079441A"/>
    <w:rsid w:val="009E6408"/>
    <w:rsid w:val="00C9591B"/>
    <w:rsid w:val="00E672B9"/>
    <w:rsid w:val="18DF2796"/>
    <w:rsid w:val="19DB4BD7"/>
    <w:rsid w:val="1C0D6DD9"/>
    <w:rsid w:val="1D664A24"/>
    <w:rsid w:val="1D901F5C"/>
    <w:rsid w:val="1DB85FFC"/>
    <w:rsid w:val="1EEB2ADD"/>
    <w:rsid w:val="29794891"/>
    <w:rsid w:val="2FB860E7"/>
    <w:rsid w:val="38660FD8"/>
    <w:rsid w:val="3E8A12CD"/>
    <w:rsid w:val="3FF74DAB"/>
    <w:rsid w:val="44996CF1"/>
    <w:rsid w:val="4DBD1651"/>
    <w:rsid w:val="4EBE6C96"/>
    <w:rsid w:val="5566309C"/>
    <w:rsid w:val="564A79B3"/>
    <w:rsid w:val="5791742F"/>
    <w:rsid w:val="5E2A0975"/>
    <w:rsid w:val="61255B40"/>
    <w:rsid w:val="63A54A71"/>
    <w:rsid w:val="643C00AE"/>
    <w:rsid w:val="67C90C84"/>
    <w:rsid w:val="69CE1FCF"/>
    <w:rsid w:val="6A210A8B"/>
    <w:rsid w:val="6A484DDD"/>
    <w:rsid w:val="6C0F30BA"/>
    <w:rsid w:val="6CA4377F"/>
    <w:rsid w:val="6D1E0AE5"/>
    <w:rsid w:val="73C142B4"/>
    <w:rsid w:val="76603BC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10</Pages>
  <Words>653</Words>
  <Characters>3728</Characters>
  <Lines>31</Lines>
  <Paragraphs>8</Paragraphs>
  <TotalTime>9</TotalTime>
  <ScaleCrop>false</ScaleCrop>
  <LinksUpToDate>false</LinksUpToDate>
  <CharactersWithSpaces>4373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2019-05-22T15:13:00Z</dcterms:created>
  <dc:creator>Administrator</dc:creator>
  <cp:lastModifiedBy>拱酝爻涣和</cp:lastModifiedBy>
  <cp:lastPrinted>2019-05-25T02:37:00Z</cp:lastPrinted>
  <dcterms:modified xsi:type="dcterms:W3CDTF">2025-06-29T10:36:54Z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A2EA3D6697DD4616ADE8252DCBDCFFA0_12</vt:lpwstr>
  </property>
</Properties>
</file>