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3BBEC">
      <w:pPr>
        <w:pStyle w:val="2"/>
        <w:ind w:firstLine="880" w:firstLineChars="200"/>
        <w:jc w:val="center"/>
        <w:rPr>
          <w:rFonts w:ascii="Times New Roman" w:hAnsi="Times New Roman" w:cs="Times New Roman"/>
          <w:sz w:val="44"/>
          <w:szCs w:val="44"/>
        </w:rPr>
      </w:pPr>
      <w:bookmarkStart w:id="0" w:name="_GoBack"/>
      <w:bookmarkEnd w:id="0"/>
    </w:p>
    <w:p w14:paraId="69F3DA7B">
      <w:pPr>
        <w:pStyle w:val="2"/>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核两用品及相关技术出口管制条例</w:t>
      </w:r>
    </w:p>
    <w:p w14:paraId="7C1FD758">
      <w:pPr>
        <w:pStyle w:val="2"/>
        <w:ind w:firstLine="640" w:firstLineChars="200"/>
        <w:rPr>
          <w:rFonts w:ascii="Times New Roman" w:hAnsi="Times New Roman" w:eastAsia="楷体_GB2312" w:cs="Times New Roman"/>
          <w:sz w:val="32"/>
          <w:szCs w:val="32"/>
        </w:rPr>
      </w:pPr>
    </w:p>
    <w:p w14:paraId="3E8375CA">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51BEF9A">
      <w:pPr>
        <w:pStyle w:val="2"/>
        <w:ind w:firstLine="640" w:firstLineChars="200"/>
        <w:rPr>
          <w:rFonts w:ascii="Times New Roman" w:hAnsi="Times New Roman" w:cs="Times New Roman"/>
          <w:sz w:val="32"/>
          <w:szCs w:val="32"/>
        </w:rPr>
      </w:pPr>
    </w:p>
    <w:p w14:paraId="73B77C5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为了加强对核两用品及相关技术出口的管制，防止核武器扩散，防范核恐怖主义行为，促进和平利用核能的国际合作，维护国家安全和社会公共利益，制定本条例。</w:t>
      </w:r>
    </w:p>
    <w:p w14:paraId="0475C9D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核两用品及相关技术出口，是指《核两用品及相关技术出口管制清单》(以下简称《管制清单》)所列的设备、材料、软件和相关技术的贸易性出口及对外赠送、展览、科技合作、援助、服务和以其他方式进行的转移。</w:t>
      </w:r>
    </w:p>
    <w:p w14:paraId="0CBF454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国家对核两用品及相关技术出口实行严格管制，严格履行所承担的不扩散核武器的国际义务，防止核两用品及相关技术用于核爆炸目的或者核恐怖主义行为。</w:t>
      </w:r>
    </w:p>
    <w:p w14:paraId="6EBC1B1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为维护国家安全以及国际和平与安全，国家对核两用品及相关技术出口可以采取任何必要的措施。</w:t>
      </w:r>
    </w:p>
    <w:p w14:paraId="531727A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核两用品及相关技术出口，应当遵守国家有关法律、行政法规和本条例的规定，不得损害国家安全和社会公共利益。</w:t>
      </w:r>
    </w:p>
    <w:p w14:paraId="011D483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国家对核两用品及相关技术出口实行许可证管理制度。</w:t>
      </w:r>
    </w:p>
    <w:p w14:paraId="67AB6AE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核两用品及相关技术出口的许可，应当基于接受方的如下保证：</w:t>
      </w:r>
    </w:p>
    <w:p w14:paraId="0B69262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(一)接受方保证，不将中国供应的核两用品及相关技术或者其任何复制品用于核爆炸目的以及申明的最终用途以外的其他用途。</w:t>
      </w:r>
    </w:p>
    <w:p w14:paraId="4C99003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(二)接受方保证，不将中国供应的核两用品及相关技术或者其任何复制品用于未接受国际原子能机构保障监督的核燃料循环活动。本项规定不适用于同国际原子能机构订有自愿保障协定的国家。</w:t>
      </w:r>
    </w:p>
    <w:p w14:paraId="6CD842F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(三)接受方保证，未经中国政府允许，不将中国供应的核两用品及相关技术或者其任何复制品向申明的最终用户以外的第三方转让。</w:t>
      </w:r>
    </w:p>
    <w:p w14:paraId="5E88586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从事核两用品及相关技术出口的经营者，须经商务部登记。未经登记，任何单位或者个人不得经营核两用品及相关技术出口。登记的具体办法由商务部规定。</w:t>
      </w:r>
    </w:p>
    <w:p w14:paraId="1B4C0B8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出口《管制清单》所列的核两用品及相关技术，应当向商务部提出申请，填写核两用品及相关技术出口申请表(以下简称出口申请表)，并提交下列文件：</w:t>
      </w:r>
    </w:p>
    <w:p w14:paraId="69E0310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(一)申请人的法定代表人、主要经营管理人以及经办人的身份证明；</w:t>
      </w:r>
    </w:p>
    <w:p w14:paraId="08A6B06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(二)合同或者协议的副本；</w:t>
      </w:r>
    </w:p>
    <w:p w14:paraId="3077CF3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(三)核两用品及相关技术的技术说明或者检测报告；</w:t>
      </w:r>
    </w:p>
    <w:p w14:paraId="29A4908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(四)最终用户和最终用途证明；</w:t>
      </w:r>
    </w:p>
    <w:p w14:paraId="0282EEA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(五)本条例第六条规定的保证文书；</w:t>
      </w:r>
    </w:p>
    <w:p w14:paraId="3443A43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(六)商务部要求提交的其他文件。</w:t>
      </w:r>
    </w:p>
    <w:p w14:paraId="53A4F6E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核两用品及相关技术出口，属于参加境外展览、中方在境外自用、境外检修，并在规定期限内复运进境的，或者属于境内检修复运出境以及商务部规定的其他情形的，在申请时经商务部审查同意，可以免予提交本条例第八条规定的有关文件。</w:t>
      </w:r>
    </w:p>
    <w:p w14:paraId="149BDE9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申请人应当如实填写出口申请表。</w:t>
      </w:r>
    </w:p>
    <w:p w14:paraId="069CF29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出口申请表由商务部统一印制。</w:t>
      </w:r>
    </w:p>
    <w:p w14:paraId="78584B8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商务部应当自收到出口申请表和本条例第八条规定的文件之日起，会同国家原子能机构或者会同国家原子能机构商有关部门，涉及外交政策的，并商外交部，进行审查并在45个工作日内作出许可或者不许可的决定。</w:t>
      </w:r>
    </w:p>
    <w:p w14:paraId="603D0E1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对国家安全、社会公共利益或者外交政策有重大影响的核两用品及相关技术出口，商务部会同有关部门报国务院批准。</w:t>
      </w:r>
    </w:p>
    <w:p w14:paraId="1396147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报国务院批准的，不受本条例第十一条规定时限的限制。</w:t>
      </w:r>
    </w:p>
    <w:p w14:paraId="6F83B32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核两用品及相关技术出口申请经审查许可的，由商务部颁发核两用品及相关技术出口许可证件(以下简称出口许可证件)。</w:t>
      </w:r>
    </w:p>
    <w:p w14:paraId="29933AE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出口许可证件持有人改变原申请的核两用品及相关技术出口的，应当交回原出口许可证件，并依照本条例的有关规定，重新申请、领取出口许可证件。</w:t>
      </w:r>
    </w:p>
    <w:p w14:paraId="3B9B63F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核两用品及相关技术出口时，出口经营者应当向海关出具出口许可证件，依照海关法的规定办理海关手续，并接受海关监管。</w:t>
      </w:r>
    </w:p>
    <w:p w14:paraId="2EAEAB2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海关可以对出口经营者出口的设备、材料、软件和相关技术是否需要办理核两用品及相关技术出口许可证件提出质疑，并可以要求其向商务部申请办理是否属于核两用品及相关技术出口管制范围的证明文件；属于核两用品及相关技术出口管制范围的，出口经营者应当依照本条例的规定申请取得核两用品及相关技术出口许可证件。具体办法由海关总署会同商务部制定。</w:t>
      </w:r>
    </w:p>
    <w:p w14:paraId="715D68A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接受方违反其依照本条例第六条规定作出的保证，或者出现核扩散、核恐怖主义行为危险时，商务部应当对已经颁发的出口许可证件予以中止或者撤销，并书面通知有关部门。</w:t>
      </w:r>
    </w:p>
    <w:p w14:paraId="50E4DD2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出口经营者应当建立、健全核两用品及相关技术出口的内部控制机制，并妥善保存有关合同、发票、单据、业务函电等资料，保存期限不少于5年。商务部可以查阅、复制相关资料。</w:t>
      </w:r>
    </w:p>
    <w:p w14:paraId="2AA6E00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出口经营者知道或者应当知道，或者得到商务部通知，其所出口的设备、材料、软件和相关技术存在核扩散风险或者可能被用于核恐怖主义目的的，即使该设备、材料、软件和相关技术未列入《管制清单》，也应当依照本条例的规定执行。</w:t>
      </w:r>
    </w:p>
    <w:p w14:paraId="6C438F2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经国务院批准，商务部会同有关部门，可以临时决定对《管制清单》以外的特定核两用品及相关技术的出口依照本条例实施管制。</w:t>
      </w:r>
    </w:p>
    <w:p w14:paraId="3514E79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前款规定的特定核两用品及相关技术的出口，应当依照本条例的规定经过许可。</w:t>
      </w:r>
    </w:p>
    <w:p w14:paraId="46C690F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商务部组织有关方面的专家组成核两用品及相关技术出口管制咨询委员会，承担核两用品及相关技术出口管制的咨询、评估、论证等工作。</w:t>
      </w:r>
    </w:p>
    <w:p w14:paraId="1D1B0BC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商务部或者商务部会同有关部门可以对涉嫌违反本条例规定的行为进行调查、制止。必要时，商务部可以将拟出境的设备、材料、软件和相关技术的有关情况通报海关，对其中属于海关监管货物的，海关可以查验和扣留。对海关监管区域外不属于海关监管货物的，商务部可以查封或者扣留。有关单位和个人应当予以配合、协助。</w:t>
      </w:r>
    </w:p>
    <w:p w14:paraId="5B02835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违反本条例的规定，出口核两用品的，依照海关法的规定处罚。</w:t>
      </w:r>
    </w:p>
    <w:p w14:paraId="06C4614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的规定，出口核两用品相关技术的，由商务部给予警告，处违法经营额1倍以上5倍以下的罚款；违法经营额不足5万元的，处5万元以上25万元以下的罚款；有违法所得的，没收违法所得；构成犯罪的，依法追究刑事责任。</w:t>
      </w:r>
    </w:p>
    <w:p w14:paraId="6FD7F7E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伪造、变造或者买卖出口许可证件的，依照有关法律、行政法规的规定处罚；构成犯罪的，依法追究刑事责任。</w:t>
      </w:r>
    </w:p>
    <w:p w14:paraId="6736980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欺骗或者其他不正当手段获取出口许可证件的，由商务部收缴其出口许可证件，处违法经营额1倍以上5倍以下的罚款；违法经营额不足5万元的，处5万元以上25万元以下的罚款；有违法所得的，没收违法所得；构成犯罪的，依法追究刑事责任。</w:t>
      </w:r>
    </w:p>
    <w:p w14:paraId="144BE60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对核两用品及相关技术出口实施管制的国家工作人员玩忽职守、徇私舞弊或者滥用职权，构成犯罪的，依法追究刑事责任；尚不构成犯罪的，依法给予处分。</w:t>
      </w:r>
    </w:p>
    <w:p w14:paraId="78D45EE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商务部会同国家原子能机构和有关部门，可以根据实际情况对《管制清单》进行调整，并予以公布。</w:t>
      </w:r>
    </w:p>
    <w:p w14:paraId="45693CB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缔结或者参加的国际条约同本条例有不同规定的，适用国际条约的规定；但是，</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声明保留的条款除外。</w:t>
      </w:r>
    </w:p>
    <w:p w14:paraId="2728403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核两用品及相关技术从保税区、出口加工区等海关特殊监管区域和出口监管仓库、保税物流中心等保税监管场所出口，适用本条例的规定。</w:t>
      </w:r>
    </w:p>
    <w:p w14:paraId="4118B28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核两用品及相关技术的过境、转运、通运，参照本条例的规定执行。</w:t>
      </w:r>
    </w:p>
    <w:p w14:paraId="473D4F13">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6D8D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2927C46">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C48682C"/>
    <w:rsid w:val="00114F0E"/>
    <w:rsid w:val="001A578E"/>
    <w:rsid w:val="0051142E"/>
    <w:rsid w:val="00B34CDD"/>
    <w:rsid w:val="00BF5C4D"/>
    <w:rsid w:val="00D22ACA"/>
    <w:rsid w:val="0ECC1164"/>
    <w:rsid w:val="109A6DBE"/>
    <w:rsid w:val="1C48682C"/>
    <w:rsid w:val="2BDE27AF"/>
    <w:rsid w:val="30AC521D"/>
    <w:rsid w:val="396A2D3A"/>
    <w:rsid w:val="679474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435</Words>
  <Characters>2481</Characters>
  <Lines>20</Lines>
  <Paragraphs>5</Paragraphs>
  <TotalTime>0</TotalTime>
  <ScaleCrop>false</ScaleCrop>
  <LinksUpToDate>false</LinksUpToDate>
  <CharactersWithSpaces>2911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拱酝爻涣和</cp:lastModifiedBy>
  <dcterms:modified xsi:type="dcterms:W3CDTF">2025-06-29T10:40:35Z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D127D2745DA44F139C6395E7B2BD2F65_12</vt:lpwstr>
  </property>
</Properties>
</file>