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C6D18">
      <w:pPr>
        <w:pStyle w:val="2"/>
        <w:jc w:val="center"/>
        <w:rPr>
          <w:rFonts w:hint="eastAsia" w:ascii="Times New Roman" w:hAnsi="Times New Roman" w:cs="Times New Roman"/>
          <w:sz w:val="44"/>
          <w:szCs w:val="44"/>
        </w:rPr>
      </w:pPr>
      <w:bookmarkStart w:id="0" w:name="_GoBack"/>
      <w:bookmarkEnd w:id="0"/>
    </w:p>
    <w:p w14:paraId="21E8C48D">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生物两用品及</w:t>
      </w:r>
    </w:p>
    <w:p w14:paraId="5C7D39FF">
      <w:pPr>
        <w:pStyle w:val="2"/>
        <w:jc w:val="center"/>
        <w:rPr>
          <w:rFonts w:ascii="Times New Roman" w:hAnsi="Times New Roman" w:cs="Times New Roman"/>
          <w:sz w:val="44"/>
          <w:szCs w:val="44"/>
        </w:rPr>
      </w:pPr>
      <w:r>
        <w:rPr>
          <w:rFonts w:ascii="Times New Roman" w:hAnsi="Times New Roman" w:cs="Times New Roman"/>
          <w:sz w:val="44"/>
          <w:szCs w:val="44"/>
        </w:rPr>
        <w:t>相关设备和技术出口管制条例</w:t>
      </w:r>
    </w:p>
    <w:p w14:paraId="41504AC7">
      <w:pPr>
        <w:pStyle w:val="2"/>
        <w:ind w:firstLine="640" w:firstLineChars="200"/>
        <w:rPr>
          <w:rFonts w:hint="eastAsia" w:ascii="Times New Roman" w:hAnsi="Times New Roman" w:eastAsia="楷体_GB2312" w:cs="Times New Roman"/>
          <w:sz w:val="32"/>
          <w:szCs w:val="32"/>
        </w:rPr>
      </w:pPr>
    </w:p>
    <w:p w14:paraId="074FB166">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FEC8A11">
      <w:pPr>
        <w:pStyle w:val="2"/>
        <w:ind w:firstLine="640" w:firstLineChars="200"/>
        <w:rPr>
          <w:rFonts w:ascii="Times New Roman" w:hAnsi="Times New Roman" w:cs="Times New Roman"/>
          <w:sz w:val="32"/>
          <w:szCs w:val="32"/>
        </w:rPr>
      </w:pPr>
    </w:p>
    <w:p w14:paraId="01EB2F7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为了加强对生物两用品及相关设备和技术出口的管制，维护国家安全和社会公共利益，制定本条例。</w:t>
      </w:r>
    </w:p>
    <w:p w14:paraId="31387F5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生物两用品及相关设备和技术出口，是指本条例附件《生物两用品及相关设备和技术出口管制清单》(以下简称《管制清单》)所列的生物两用品及相关设备和技术的贸易性出口以及对外交流、交换、赠送、展览、援助、服务和以其他方式进行的技术转移。</w:t>
      </w:r>
    </w:p>
    <w:p w14:paraId="012EF3D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生物两用品及相关设备和技术出口应当遵守国家有关法律、行政法规和本条例规定，不得损害国家安全和社会公共利益。</w:t>
      </w:r>
    </w:p>
    <w:p w14:paraId="3D1EEDC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国家对生物两用品及相关设备和技术出口实行严格管制，防止《管制清单》所列的生物两用品及相关设备和技术用于生物武器目的。</w:t>
      </w:r>
    </w:p>
    <w:p w14:paraId="4E4204A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国家对《管制清单》所列的生物两用品及相关设备和技术出口实行许可制度。未经许可，任何单位或者个人不得出口《管制清单》所列的生物两用品及相关设备和技术。</w:t>
      </w:r>
    </w:p>
    <w:p w14:paraId="502D5ED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从事生物两用品及相关设备和技术出口的经营者，须经国务院对外经济贸易主管部门(以下简称国务院外经贸主管部门)登记。未经登记，任何单位或者个人不得经营生物两用品及相关设备和技术出口。具体登记办法由国务院外经贸主管部门规定。</w:t>
      </w:r>
    </w:p>
    <w:p w14:paraId="33BFD14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生物两用品及相关设备和技术出口的接受方应当保证：</w:t>
      </w:r>
    </w:p>
    <w:p w14:paraId="3DD9529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(一)所进口的生物两用品及相关设备和技术不用于生物武器目的；</w:t>
      </w:r>
    </w:p>
    <w:p w14:paraId="7DA0450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(二)未经中国政府允许，不将中国供应的生物两用品及相关设备和技术用于申明的最终用途以外的其他用途；</w:t>
      </w:r>
    </w:p>
    <w:p w14:paraId="672BDB2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(三)未经中国政府允许，不将中国供应的生物两用品及相关设备和技术向申明的最终用户以外的第三方转让。</w:t>
      </w:r>
    </w:p>
    <w:p w14:paraId="0C6CD3D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出口《管制清单》所列的生物两用品及相关设备和技术，应当向国务院外经贸主管部门提出申请，填写生物两用品及相关设备和技术出口申请表(以下简称出口申请表)，并提交下列文件：</w:t>
      </w:r>
    </w:p>
    <w:p w14:paraId="10A1C62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(一)申请人的法定代表人、主要经营管理人以及经办人的身份证明；</w:t>
      </w:r>
    </w:p>
    <w:p w14:paraId="4D09A89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(二)合同、协议的副本或者其他证明文件；</w:t>
      </w:r>
    </w:p>
    <w:p w14:paraId="1C48DE0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(三)生物两用品及相关设备和技术的技术说明；</w:t>
      </w:r>
    </w:p>
    <w:p w14:paraId="6255B0A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(四)最终用户证明和最终用途证明；</w:t>
      </w:r>
    </w:p>
    <w:p w14:paraId="4C9CB6C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(五)本条例第七条规定的保证文书；</w:t>
      </w:r>
    </w:p>
    <w:p w14:paraId="3B3AA98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(六)国务院外经贸主管部门规定提交的其他文件。</w:t>
      </w:r>
    </w:p>
    <w:p w14:paraId="2896BCC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申请人应当如实填写出口申请表。</w:t>
      </w:r>
    </w:p>
    <w:p w14:paraId="6B90193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出口申请表由国务院外经贸主管部门统一印制。</w:t>
      </w:r>
    </w:p>
    <w:p w14:paraId="7FA11F9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国务院外经贸主管部门应当自收到出口申请表和本条例第八条规定的文件之日起进行审查，或者会同有关部门进行审查。</w:t>
      </w:r>
    </w:p>
    <w:p w14:paraId="21A7539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管制清单》第一部分所列的生物两用品及相关设备和技术的出口申请，国务院外经贸主管部门应当在15个工作日内作出许可或者不予许可的决定；对《管制清单》第二部分所列的生物两用品及相关设备和技术的出口申请，国务院外经贸主管部门应当在45个工作日内作出许可或者不予许可的决定。</w:t>
      </w:r>
    </w:p>
    <w:p w14:paraId="3B263A4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对国家安全、社会公共利益有重大影响的生物两用品及相关设备和技术出口，国务院外经贸主管部门应当会同有关部门报国务院批准。</w:t>
      </w:r>
    </w:p>
    <w:p w14:paraId="1F326F3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生物两用品及相关设备和技术出口报国务院批准的，不受本条例第十条规定时限的限制。</w:t>
      </w:r>
    </w:p>
    <w:p w14:paraId="25F3557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生物两用品及相关设备和技术出口申请经审查许可的，由国务院外经贸主管部门向申请人颁发生物两用品及相关设备和技术出口许可证件(以下简称出口许可证件)，并书面通知海关。</w:t>
      </w:r>
    </w:p>
    <w:p w14:paraId="7DE384C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出口许可证件持有人改变原申请的生物两用品及相关设备和技术出口的，应当交回原出口许可证件，并依照本条例的有关规定，重新申请出口许可。</w:t>
      </w:r>
    </w:p>
    <w:p w14:paraId="74B30AF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生物两用品及相关设备和技术出口时，出口单位或者个人应当向海关出具出口许可证件，依照海关法的规定办理海关手续，并接受海关监管。</w:t>
      </w:r>
    </w:p>
    <w:p w14:paraId="32E2956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接受方违反其依照本条例第七条规定作出的保证，或者出现《管制清单》所列的可用于生物武器目的的生物两用品及相关设备和技术扩散的危险时，国务院外经贸主管部门应当对已经颁发的出口许可证件予以中止或者撤销，并书面通知海关。</w:t>
      </w:r>
    </w:p>
    <w:p w14:paraId="43ED927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任何单位或者个人知道或者应当知道所出口的生物两用品及相关设备和技术将被接受方直接用于生物武器目的的，无论该生物两用品及相关设备和技术是否列入《管制清单》，都不应当出口。</w:t>
      </w:r>
    </w:p>
    <w:p w14:paraId="017C6E4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经国务院批准，国务院外经贸主管部门会同有关部门，可以临时决定对《管制清单》以外的特定生物两用品及相关设备和技术的出口依照本条例实施管制。</w:t>
      </w:r>
    </w:p>
    <w:p w14:paraId="74EBD65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未经许可擅自出口生物两用品及相关设备和技术的，或者擅自超出许可的范围出口生物两用品及相关设备和技术的，依照刑法关于走私罪、非法经营罪、泄露国家秘密罪或者其他罪的规定，依法追究刑事责任；尚不够刑事处罚的，区别不同情况，依照海关法的有关规定处罚，或者由国务院外经贸主管部门给予警告，没收违法所得，处5万元以上25万元以下的罚款；国务院外经贸主管部门并可以暂停直至撤销其对外贸易经营许可。</w:t>
      </w:r>
    </w:p>
    <w:p w14:paraId="030A7FC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伪造、变造或者买卖生物两用品及相关设备和技术出口许可证件的，依照刑法关于非法经营罪或者伪造、变造、买卖国家机关公文、证件、印章罪的规定，依法追究刑事责任；尚不够刑事处罚的，依照海关法的有关规定处罚；国务院外经贸主管部门并可以撤销其对外贸易经营许可。</w:t>
      </w:r>
    </w:p>
    <w:p w14:paraId="28D3A69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以欺骗或者其他不正当手段获取生物两用品及相关设备和技术出口许可证件的，由国务院外经贸主管部门收缴其出口许可证件，没收违法所得，处2万元以上10万元以下的罚款，暂停直至撤销其对外贸易经营许可。</w:t>
      </w:r>
    </w:p>
    <w:p w14:paraId="51699FD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违反本条例第六条规定，未经登记擅自经营生物两用品及相关设备和技术出口的，由国务院外经贸主管部门依法取缔其非法活动，并由国家有关主管部门依照有关法律和行政法规的规定给予处罚。</w:t>
      </w:r>
    </w:p>
    <w:p w14:paraId="0B52484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对生物两用品及相关设备和技术出口实施管制的国家工作人员滥用职权、玩忽职守或者利用职务上的便利索取、收受他人财物的，依照刑法关于滥用职权罪、玩忽职守罪、受贿罪或者其他罪的规定，依法追究刑事责任；尚不够刑事处罚的，依法给予行政处分。</w:t>
      </w:r>
    </w:p>
    <w:p w14:paraId="50EED43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国务院外经贸主管部门会同有关部门，可以根据实际情况对《管制清单》进行调整，报国务院批准后执行。</w:t>
      </w:r>
    </w:p>
    <w:p w14:paraId="43FCBBC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《管制清单》所列生物两用品及相关设备和技术进口后再出口的，适用本条例的规定。</w:t>
      </w:r>
    </w:p>
    <w:p w14:paraId="02A0D4E5">
      <w:pPr>
        <w:ind w:firstLine="640" w:firstLineChars="200"/>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1BA0A">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4D03C75">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613618D"/>
    <w:rsid w:val="00187E38"/>
    <w:rsid w:val="002A6015"/>
    <w:rsid w:val="00B377C0"/>
    <w:rsid w:val="1613618D"/>
    <w:rsid w:val="1FB50F2F"/>
    <w:rsid w:val="270131A6"/>
    <w:rsid w:val="344D3828"/>
    <w:rsid w:val="563E0FF1"/>
    <w:rsid w:val="63E45B39"/>
    <w:rsid w:val="743D5008"/>
    <w:rsid w:val="79193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381</Words>
  <Characters>2175</Characters>
  <Lines>18</Lines>
  <Paragraphs>5</Paragraphs>
  <TotalTime>0</TotalTime>
  <ScaleCrop>false</ScaleCrop>
  <LinksUpToDate>false</LinksUpToDate>
  <CharactersWithSpaces>2551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2019-05-22T15:52:00Z</dcterms:created>
  <dc:creator>Administrator</dc:creator>
  <cp:lastModifiedBy>拱酝爻涣和</cp:lastModifiedBy>
  <dcterms:modified xsi:type="dcterms:W3CDTF">2025-06-29T10:44:33Z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4B8497CD2EFF4BFE9ECA8376CE424790_12</vt:lpwstr>
  </property>
</Properties>
</file>