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04304">
      <w:pPr>
        <w:pStyle w:val="3"/>
        <w:jc w:val="center"/>
        <w:rPr>
          <w:rFonts w:hint="eastAsia" w:ascii="Times New Roman" w:hAnsi="Times New Roman" w:cs="Times New Roman"/>
          <w:sz w:val="44"/>
          <w:szCs w:val="44"/>
        </w:rPr>
      </w:pPr>
      <w:bookmarkStart w:id="0" w:name="_GoBack"/>
      <w:bookmarkEnd w:id="0"/>
    </w:p>
    <w:p w14:paraId="28DD5680">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税收征收</w:t>
      </w:r>
    </w:p>
    <w:p w14:paraId="37145465">
      <w:pPr>
        <w:pStyle w:val="3"/>
        <w:jc w:val="center"/>
        <w:rPr>
          <w:rFonts w:ascii="Times New Roman" w:hAnsi="Times New Roman" w:cs="Times New Roman"/>
          <w:sz w:val="44"/>
          <w:szCs w:val="44"/>
        </w:rPr>
      </w:pPr>
      <w:r>
        <w:rPr>
          <w:rFonts w:ascii="Times New Roman" w:hAnsi="Times New Roman" w:cs="Times New Roman"/>
          <w:sz w:val="44"/>
          <w:szCs w:val="44"/>
        </w:rPr>
        <w:t>管理法实施细则</w:t>
      </w:r>
    </w:p>
    <w:p w14:paraId="0B5D2DA2">
      <w:pPr>
        <w:pStyle w:val="3"/>
        <w:ind w:firstLine="640" w:firstLineChars="200"/>
        <w:rPr>
          <w:rFonts w:hint="eastAsia" w:ascii="Times New Roman" w:hAnsi="Times New Roman" w:eastAsia="楷体_GB2312" w:cs="Times New Roman"/>
          <w:sz w:val="32"/>
          <w:szCs w:val="32"/>
        </w:rPr>
      </w:pPr>
    </w:p>
    <w:p w14:paraId="7942AD92">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40B784C">
      <w:pPr>
        <w:pStyle w:val="2"/>
        <w:rPr>
          <w:rFonts w:ascii="方正黑体_GBK"/>
        </w:rPr>
      </w:pPr>
      <w:r>
        <w:rPr>
          <w:rFonts w:hint="eastAsia" w:ascii="方正黑体_GBK" w:hAnsi="Times New Roman" w:cs="Times New Roman"/>
        </w:rPr>
        <w:t>第一章　总则</w:t>
      </w:r>
    </w:p>
    <w:p w14:paraId="135630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税收征收管理法》(以下简称税收征管法)的规定，制定本细则。</w:t>
      </w:r>
    </w:p>
    <w:p w14:paraId="2672D4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凡依法由税务机关征收的各种税收的征收管理，均适用税收征管法及本细则；税收征管法及本细则没有规定的，依照其他有关税收法律、行政法规的规定执行。</w:t>
      </w:r>
    </w:p>
    <w:p w14:paraId="2972BD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任何部门、单位和个人作出的与税收法律、行政法规相抵触的决定一律无效，税务机关不得执行，并应当向上级税务机关报告。</w:t>
      </w:r>
    </w:p>
    <w:p w14:paraId="7C52CC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纳税人应当依照税收法律、行政法规的规定履行纳税义务；其签订的合同、协议等与税收法律、行政法规相抵触的，一律无效。</w:t>
      </w:r>
    </w:p>
    <w:p w14:paraId="46023F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税务总局负责制定全国税务系统信息化建设的总体规划、技术标准、技术方案与实施办法；各级税务机关应当按照国家税务总局的总体规划、技术标准、技术方案与实施办法，做好本地区税务系统信息化建设的具体工作。</w:t>
      </w:r>
    </w:p>
    <w:p w14:paraId="005051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地方各级人民政府应当积极支持税务系统信息化建设，并组织有关部门实现相关信息的共享。</w:t>
      </w:r>
    </w:p>
    <w:p w14:paraId="65DFE9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税收征管法第八条所称为纳税人、扣缴义务人保密的情况，是指纳税人、扣缴义务人的商业秘密及个人隐私。纳税人、扣缴义务人的税收违法行为不属于保密范围。</w:t>
      </w:r>
    </w:p>
    <w:p w14:paraId="5DD1DF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国家税务总局应当制定税务人员行为准则和服务规范。</w:t>
      </w:r>
    </w:p>
    <w:p w14:paraId="1D5C5A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上级税务机关发现下级税务机关的税收违法行为，应当及时予以纠正；下级税务机关应当按照上级税务机关的决定及时改正。</w:t>
      </w:r>
    </w:p>
    <w:p w14:paraId="35786F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下级税务机关发现上级税务机关的税收违法行为，应当向上级税务机关或者有关部门报告。</w:t>
      </w:r>
    </w:p>
    <w:p w14:paraId="4E976B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税务机关根据检举人的贡献大小给予相应的奖励，奖励所需资金列入税务部门年度预算，单项核定。奖励资金具体使用办法以及奖励标准，由国家税务总局会同财政部制定。</w:t>
      </w:r>
    </w:p>
    <w:p w14:paraId="010A1B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税务人员在核定应纳税额、调整税收定额、进行税务检查、实施税务行政处罚、办理税务行政复议时，与纳税人、扣缴义务人或者其法定代表人、直接责任人有下列关系之一的，应当回避：</w:t>
      </w:r>
    </w:p>
    <w:p w14:paraId="1EF107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(一)夫妻关系；</w:t>
      </w:r>
    </w:p>
    <w:p w14:paraId="7F260D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(二)直系血亲关系；</w:t>
      </w:r>
    </w:p>
    <w:p w14:paraId="2E3734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(三)三代以内旁系血亲关系；</w:t>
      </w:r>
    </w:p>
    <w:p w14:paraId="2AFAC8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(四)近姻亲关系；</w:t>
      </w:r>
    </w:p>
    <w:p w14:paraId="70EA30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(五)可能影响公正执法的其他利害关系。</w:t>
      </w:r>
    </w:p>
    <w:p w14:paraId="01D4CF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税收征管法第十四条所称按照国务院规定设立的并向社会公告的税务机构，是指省以下税务局的稽查局。稽查局专司偷税、逃避追缴欠税、骗税、抗税案件的查处。</w:t>
      </w:r>
    </w:p>
    <w:p w14:paraId="252550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国家税务总局应当明确划分税务局和稽查局的职责，避免职责交叉。</w:t>
      </w:r>
    </w:p>
    <w:p w14:paraId="3DCAD6A7">
      <w:pPr>
        <w:pStyle w:val="2"/>
        <w:rPr>
          <w:rFonts w:ascii="方正黑体_GBK"/>
        </w:rPr>
      </w:pPr>
      <w:r>
        <w:rPr>
          <w:rFonts w:hint="eastAsia" w:ascii="方正黑体_GBK" w:hAnsi="Times New Roman" w:cs="Times New Roman"/>
        </w:rPr>
        <w:t>第二章　税务登记</w:t>
      </w:r>
    </w:p>
    <w:p w14:paraId="689B92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国家税务局、地方税务局对同一纳税人的税务登记应当采用同一代码，信息共享。</w:t>
      </w:r>
    </w:p>
    <w:p w14:paraId="516ABE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税务登记的具体办法由国家税务总局制定。</w:t>
      </w:r>
    </w:p>
    <w:p w14:paraId="572A5B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各级工商行政管理机关应当向同级国家税务局和地方税务局定期通报办理开业、变更、注销登记以及吊销营业执照的情况。</w:t>
      </w:r>
    </w:p>
    <w:p w14:paraId="166E14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通报的具体办法由国家税务总局和国家工商行政管理总局联合制定。</w:t>
      </w:r>
    </w:p>
    <w:p w14:paraId="3CDCE4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从事生产、经营的纳税人应当自领取营业执照之日起30日内，向生产、经营地或者纳税义务发生地的主管税务机关申报办理税务登记，如实填写税务登记表，并按照税务机关的要求提供有关证件、资料。</w:t>
      </w:r>
    </w:p>
    <w:p w14:paraId="2E6739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前款规定以外的纳税人，除国家机关和个人外，应当自纳税义务发生之日起30日内，持有关证件向所在地的主管税务机关申报办理税务登记。</w:t>
      </w:r>
    </w:p>
    <w:p w14:paraId="5BD3DF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个人所得税的纳税人办理税务登记的办法由国务院另行规定。</w:t>
      </w:r>
    </w:p>
    <w:p w14:paraId="5431A6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税务登记证件的式样，由国家税务总局制定。</w:t>
      </w:r>
    </w:p>
    <w:p w14:paraId="23DECA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扣缴义务人应当自扣缴义务发生之日起30日内，向所在地的主管税务机关申报办理扣缴税款登记，领取扣缴税款登记证件；税务机关对已办理税务登记的扣缴义务人，可以只在其税务登记证件上登记扣缴税款事项，不再发给扣缴税款登记证件。</w:t>
      </w:r>
    </w:p>
    <w:p w14:paraId="5209BC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纳税人税务登记内容发生变化的，应当自工商行政管理机关或者其他机关办理变更登记之日起30日内，持有关证件向原税务登记机关申报办理变更税务登记。</w:t>
      </w:r>
    </w:p>
    <w:p w14:paraId="2D6536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纳税人税务登记内容发生变化，不需要到工商行政管理机关或者其他机关办理变更登记的，应当自发生变化之日起30日内，持有关证件向原税务登记机关申报办理变更税务登记。</w:t>
      </w:r>
    </w:p>
    <w:p w14:paraId="2D01EE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纳税人发生解散、破产、撤销以及其他情形，依法终止纳税义务的，应当在向工商行政管理机关或者其他机关办理注销登记前，持有关证件向原税务登记机关申报办理注销税务登记；按照规定不需要在工商行政管理机关或者其他机关办理注册登记的，应当自有关机关批准或者宣告终止之日起15日内，持有关证件向原税务登记机关申报办理注销税务登记。</w:t>
      </w:r>
    </w:p>
    <w:p w14:paraId="4A11F3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因住所、经营地点变动，涉及改变税务登记机关的，应当在向工商行政管理机关或者其他机关申请办理变更或者注销登记前或者住所、经营地点变动前，向原税务登记机关申报办理注销税务登记，并在30日内向迁达地税务机关申报办理税务登记。</w:t>
      </w:r>
    </w:p>
    <w:p w14:paraId="707D59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纳税人被工商行政管理机关吊销营业执照或者被其他机关予以撤销登记的，应当自营业执照被吊销或者被撤销登记之日起15日内，向原税务登记机关申报办理注销税务登记。</w:t>
      </w:r>
    </w:p>
    <w:p w14:paraId="38D65F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纳税人在办理注销税务登记前，应当向税务机关结清应纳税款、滞纳金、罚款，缴销发票、税务登记证件和其他税务证件。</w:t>
      </w:r>
    </w:p>
    <w:p w14:paraId="33369F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从事生产、经营的纳税人应当自开立基本存款账户或者其他存款账户之日起15日内，向主管税务机关书面报告其全部账号；发生变化的，应当自变化之日起15日内，向主管税务机关书面报告。</w:t>
      </w:r>
    </w:p>
    <w:p w14:paraId="722CB4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除按照规定不需要发给税务登记证件的外，纳税人办理下列事项时，必须持税务登记证件：</w:t>
      </w:r>
    </w:p>
    <w:p w14:paraId="06E79C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(一)开立银行账户；</w:t>
      </w:r>
    </w:p>
    <w:p w14:paraId="0A617A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(二)申请减税、免税、退税；</w:t>
      </w:r>
    </w:p>
    <w:p w14:paraId="31D7E1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(三)申请办理延期申报、延期缴纳税款；</w:t>
      </w:r>
    </w:p>
    <w:p w14:paraId="22D14C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(四)领购发票；</w:t>
      </w:r>
    </w:p>
    <w:p w14:paraId="6EA0E5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(五)申请开具外出经营活动税收管理证明；</w:t>
      </w:r>
    </w:p>
    <w:p w14:paraId="110307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(六)办理停业、歇业；</w:t>
      </w:r>
    </w:p>
    <w:p w14:paraId="2B4275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(七)其他有关税务事项。</w:t>
      </w:r>
    </w:p>
    <w:p w14:paraId="312523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税务机关对税务登记证件实行定期验证和换证制度。纳税人应当在规定的期限内持有关证件到主管税务机关办理验证或者换证手续。</w:t>
      </w:r>
    </w:p>
    <w:p w14:paraId="0A9C03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纳税人应当将税务登记证件正本在其生产、经营场所或者办公场所公开悬挂，接受税务机关检查。</w:t>
      </w:r>
    </w:p>
    <w:p w14:paraId="222A0A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纳税人遗失税务登记证件的，应当在15日内书面报告主管税务机关，并登报声明作废。</w:t>
      </w:r>
    </w:p>
    <w:p w14:paraId="6A89AC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从事生产、经营的纳税人到外县(市)临时从事生产、经营活动的，应当持税务登记证副本和所在地税务机关填开的外出经营活动税收管理证明，向营业地税务机关报验登记，接受税务管理。</w:t>
      </w:r>
    </w:p>
    <w:p w14:paraId="2206E7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从事生产、经营的纳税人外出经营，在同一地累计超过180天的，应当在营业地办理税务登记手续。</w:t>
      </w:r>
    </w:p>
    <w:p w14:paraId="0EE0D100">
      <w:pPr>
        <w:pStyle w:val="2"/>
        <w:rPr>
          <w:rFonts w:ascii="方正黑体_GBK"/>
        </w:rPr>
      </w:pPr>
      <w:r>
        <w:rPr>
          <w:rFonts w:hint="eastAsia" w:ascii="方正黑体_GBK" w:hAnsi="Times New Roman" w:cs="Times New Roman"/>
        </w:rPr>
        <w:t>第三章　账簿、凭证管理</w:t>
      </w:r>
    </w:p>
    <w:p w14:paraId="002011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从事生产、经营的纳税人应当自领取营业执照或者发生纳税义务之日起15日内，按照国家有关规定设置账簿。</w:t>
      </w:r>
    </w:p>
    <w:p w14:paraId="1E2196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前款所称账簿，是指总账、明细账、日记账以及其他辅助性账簿。总账、日记账应当采用订本式。</w:t>
      </w:r>
    </w:p>
    <w:p w14:paraId="7704EA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生产、经营规模小又确无建账能力的纳税人，可以聘请经批准从事会计代理记账业务的专业机构或者财会人员代为建账和办理账务。</w:t>
      </w:r>
    </w:p>
    <w:p w14:paraId="200104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从事生产、经营的纳税人应当自领取税务登记证件之日起15日内，将其财务、会计制度或者财务、会计处理办法报送主管税务机关备案。</w:t>
      </w:r>
    </w:p>
    <w:p w14:paraId="1BD765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纳税人使用计算机记账的，应当在使用前将会计电算化系统的会计核算软件、使用说明书及有关资料报送主管税务机关备案。</w:t>
      </w:r>
    </w:p>
    <w:p w14:paraId="6848C6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纳税人建立的会计电算化系统应当符合国家有关规定，并能正确、完整核算其收入或者所得。</w:t>
      </w:r>
    </w:p>
    <w:p w14:paraId="331D05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扣缴义务人应当自税收法律、行政法规规定的扣缴义务发生之日起10日内，按照所代扣、代收的税种，分别设置代扣代缴、代收代缴税款账簿。</w:t>
      </w:r>
    </w:p>
    <w:p w14:paraId="06BF4A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纳税人、扣缴义务人会计制度健全，能够通过计算机正确、完整计算其收入和所得或者代扣代缴、代收代缴税款情况的，其计算机输出的完整的书面会计记录，可视同会计账簿。</w:t>
      </w:r>
    </w:p>
    <w:p w14:paraId="11C88F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纳税人、扣缴义务人会计制度不健全，不能通过计算机正确、完整计算其收入和所得或者代扣代缴、代收代缴税款情况的，应当建立总账及与纳税或者代扣代缴、代收代缴税款有关的其他账簿。</w:t>
      </w:r>
    </w:p>
    <w:p w14:paraId="7E34F0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账簿、会计凭证和报表，应当使用中文。民族自治地方可以同时使用当地通用的一种民族文字。外商投资企业和外国企业可以同时使用一种外国文字。</w:t>
      </w:r>
    </w:p>
    <w:p w14:paraId="0B202F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纳税人应当按照税务机关的要求安装、使用税控装置，并按照税务机关的规定报送有关数据和资料。</w:t>
      </w:r>
    </w:p>
    <w:p w14:paraId="31583C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税控装置推广应用的管理办法由国家税务总局另行制定，报国务院批准后实施。</w:t>
      </w:r>
    </w:p>
    <w:p w14:paraId="095055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账簿、记账凭证、报表、完税凭证、发票、出口凭证以及其他有关涉税资料应当合法、真实、完整。</w:t>
      </w:r>
    </w:p>
    <w:p w14:paraId="4C568F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账簿、记账凭证、报表、完税凭证、发票、出口凭证以及其他有关涉税资料应当保存10年；但是，法律、行政法规另有规定的除外。</w:t>
      </w:r>
    </w:p>
    <w:p w14:paraId="49300381">
      <w:pPr>
        <w:pStyle w:val="2"/>
        <w:rPr>
          <w:rFonts w:ascii="方正黑体_GBK"/>
        </w:rPr>
      </w:pPr>
      <w:r>
        <w:rPr>
          <w:rFonts w:hint="eastAsia" w:ascii="方正黑体_GBK" w:hAnsi="Times New Roman" w:cs="Times New Roman"/>
        </w:rPr>
        <w:t>第四章　纳税申报</w:t>
      </w:r>
    </w:p>
    <w:p w14:paraId="46B9E2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税务机关应当建立、健全纳税人自行申报纳税制度。纳税人、扣缴义务人可以采取邮寄、数据电文方式办理纳税申报或者报送代扣代缴、代收代缴税款报告表。</w:t>
      </w:r>
    </w:p>
    <w:p w14:paraId="0C56F4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数据电文方式，是指税务机关确定的电话语音、电子数据交换和网络传输等电子方式。</w:t>
      </w:r>
    </w:p>
    <w:p w14:paraId="61BDAD0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纳税人采取邮寄方式办理纳税申报的，应当使用统一的纳税申报专用信封，并以邮政部门收据作为申报凭据。邮寄申报以寄出的邮戳日期为实际申报日期。</w:t>
      </w:r>
    </w:p>
    <w:p w14:paraId="5728E7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纳税人采取电子方式办理纳税申报的，应当按照税务机关规定的期限和要求保存有关资料，并定期书面报送主管税务机关。</w:t>
      </w:r>
    </w:p>
    <w:p w14:paraId="524FA8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纳税人在纳税期内没有应纳税款的，也应当按照规定办理纳税申报。</w:t>
      </w:r>
    </w:p>
    <w:p w14:paraId="693D8E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纳税人享受减税、免税待遇的，在减税、免税期间应当按照规定办理纳税申报。</w:t>
      </w:r>
    </w:p>
    <w:p w14:paraId="6F97FF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纳税人、扣缴义务人的纳税申报或者代扣代缴、代收代缴税款报告表的主要内容包括：税种、税目，应纳税项目或者应代扣代缴、代收代缴税款项目，计税依据，扣除项目及标准，适用税率或者单位税额，应退税项目及税额、应减免税项目及税额，应纳税额或者应代扣代缴、代收代缴税额，税款所属期限、延期缴纳税款、欠税、滞纳金等。</w:t>
      </w:r>
    </w:p>
    <w:p w14:paraId="3E45A6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纳税人办理纳税申报时，应当如实填写纳税申报表，并根据不同的情况相应报送下列有关证件、资料：</w:t>
      </w:r>
    </w:p>
    <w:p w14:paraId="5234EE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(一)财务会计报表及其说明材料；</w:t>
      </w:r>
    </w:p>
    <w:p w14:paraId="0DBD7B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(二)与纳税有关的合同、协议书及凭证；</w:t>
      </w:r>
    </w:p>
    <w:p w14:paraId="358E86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(三)税控装置的电子报税资料；</w:t>
      </w:r>
    </w:p>
    <w:p w14:paraId="73B63B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(四)外出经营活动税收管理证明和异地完税凭证；</w:t>
      </w:r>
    </w:p>
    <w:p w14:paraId="70E743B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(五)境内或者境外公证机构出具的有关证明文件；</w:t>
      </w:r>
    </w:p>
    <w:p w14:paraId="4154DF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(六)税务机关规定应当报送的其他有关证件、资料。</w:t>
      </w:r>
    </w:p>
    <w:p w14:paraId="5B7D2E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扣缴义务人办理代扣代缴、代收代缴税款报告时，应当如实填写代扣代缴、代收代缴税款报告表，并报送代扣代缴、代收代缴税款的合法凭证以及税务机关规定的其他有关证件、资料。</w:t>
      </w:r>
    </w:p>
    <w:p w14:paraId="0658832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实行定期定额缴纳税款的纳税人，可以实行简易申报、简并征期等申报纳税方式。</w:t>
      </w:r>
    </w:p>
    <w:p w14:paraId="53A1D4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纳税人、扣缴义务人按照规定的期限办理纳税申报或者报送代扣代缴、代收代缴税款报告表确有困难，需要延期的，应当在规定的期限内向税务机关提出书面延期申请，经税务机关核准，在核准的期限内办理。</w:t>
      </w:r>
    </w:p>
    <w:p w14:paraId="0F7B78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纳税人、扣缴义务人因不可抗力，不能按期办理纳税申报或者报送代扣代缴、代收代缴税款报告表的，可以延期办理；但是，应当在不可抗力情形消除后立即向税务机关报告。税务机关应当查明事实，予以核准。</w:t>
      </w:r>
    </w:p>
    <w:p w14:paraId="3C96A632">
      <w:pPr>
        <w:pStyle w:val="2"/>
        <w:rPr>
          <w:rFonts w:ascii="方正黑体_GBK"/>
        </w:rPr>
      </w:pPr>
      <w:r>
        <w:rPr>
          <w:rFonts w:hint="eastAsia" w:ascii="方正黑体_GBK" w:hAnsi="Times New Roman" w:cs="Times New Roman"/>
        </w:rPr>
        <w:t>第五章　税款征收</w:t>
      </w:r>
    </w:p>
    <w:p w14:paraId="5967CB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税务机关应当加强对税款征收的管理，建立、健全责任制度。</w:t>
      </w:r>
    </w:p>
    <w:p w14:paraId="0E885F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税务机关根据保证国家税款及时足额入库、方便纳税人、降低税收成本的原则，确定税款征收的方式。</w:t>
      </w:r>
    </w:p>
    <w:p w14:paraId="2894AA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税务机关应当加强对纳税人出口退税的管理，具体管理办法由国家税务总局会同国务院有关部门制定。</w:t>
      </w:r>
    </w:p>
    <w:p w14:paraId="3E09D7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税务机关应当将各种税收的税款、滞纳金、罚款，按照国家规定的预算科目和预算级次及时缴入国库，税务机关不得占压、挪用、截留，不得缴入国库以外或者国家规定的税款账户以外的任何账户。</w:t>
      </w:r>
    </w:p>
    <w:p w14:paraId="6348E7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已缴入国库的税款、滞纳金、罚款，任何单位和个人不得擅自变更预算科目和预算级次。</w:t>
      </w:r>
    </w:p>
    <w:p w14:paraId="6B535D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税务机关应当根据方便、快捷、安全的原则，积极推广使用支票、银行卡、电子结算方式缴纳税款。</w:t>
      </w:r>
    </w:p>
    <w:p w14:paraId="5A71FE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纳税人有下列情形之一的，属于税收征管法第三十一条所称特殊困难：</w:t>
      </w:r>
    </w:p>
    <w:p w14:paraId="23886D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(一)因不可抗力，导致纳税人发生较大损失，正常生产经营活动受到较大影响的；</w:t>
      </w:r>
    </w:p>
    <w:p w14:paraId="759A18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(二)当期货币资金在扣除应付职工工资、社会保险费后，不足以缴纳税款的。</w:t>
      </w:r>
    </w:p>
    <w:p w14:paraId="06FF7D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计划单列市国家税务局、地方税务局可以参照税收征管法第三十一条第二款的批准权限，审批纳税人延期缴纳税款。</w:t>
      </w:r>
    </w:p>
    <w:p w14:paraId="74FB77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纳税人需要延期缴纳税款的，应当在缴纳税款期限届满前提出申请，并报送下列材料：申请延期缴纳税款报告，当期货币资金余额情况及所有银行存款账户的对账单，资产负债表，应付职工工资和社会保险费等税务机关要求提供的支出预算。</w:t>
      </w:r>
    </w:p>
    <w:p w14:paraId="5C17C3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税务机关应当自收到申请延期缴纳税款报告之日起20日内作出批准或者不予批准的决定；不予批准的，从缴纳税款期限届满之日起加收滞纳金。</w:t>
      </w:r>
    </w:p>
    <w:p w14:paraId="6C6E22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享受减税、免税优惠的纳税人，减税、免税期满，应当自期满次日起恢复纳税；减税、免税条件发生变化的，应当在纳税申报时向税务机关报告；不再符合减税、免税条件的，应当依法履行纳税义务；未依法纳税的，税务机关应当予以追缴。</w:t>
      </w:r>
    </w:p>
    <w:p w14:paraId="3387A6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税务机关根据有利于税收控管和方便纳税的原则，可以按照国家有关规定委托有关单位和人员代征零星分散和异地缴纳的税收，并发给委托代征证书。受托单位和人员按照代征证书的要求，以税务机关的名义依法征收税款，纳税人不得拒绝；纳税人拒绝的，受托代征单位和人员应当及时报告税务机关。</w:t>
      </w:r>
    </w:p>
    <w:p w14:paraId="223F1D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税收征管法第三十四条所称完税凭证，是指各种完税证、缴款书、印花税票、扣(收)税凭证以及其他完税证明。</w:t>
      </w:r>
    </w:p>
    <w:p w14:paraId="503D02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未经税务机关指定，任何单位、个人不得印制完税凭证。完税凭证不得转借、倒卖、变造或者伪造。</w:t>
      </w:r>
    </w:p>
    <w:p w14:paraId="79205B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完税凭证的式样及管理办法由国家税务总局制定。</w:t>
      </w:r>
    </w:p>
    <w:p w14:paraId="06F2D4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税务机关收到税款后，应当向纳税人开具完税凭证。纳税人通过银行缴纳税款的，税务机关可以委托银行开具完税凭证。</w:t>
      </w:r>
    </w:p>
    <w:p w14:paraId="469E4C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纳税人有税收征管法第三十五条或者第三十七条所列情形之一的，税务机关有权采用下列任何一种方法核定其应纳税额：</w:t>
      </w:r>
    </w:p>
    <w:p w14:paraId="07AAB2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(一)参照当地同类行业或者类似行业中经营规模和收入水平相近的纳税人的税负水平核定；</w:t>
      </w:r>
    </w:p>
    <w:p w14:paraId="35B314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(二)按照营业收入或者成本加合理的费用和利润的方法核定；</w:t>
      </w:r>
    </w:p>
    <w:p w14:paraId="7896AD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(三)按照耗用的原材料、燃料、动力等推算或者测算核定；</w:t>
      </w:r>
    </w:p>
    <w:p w14:paraId="61032D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(四)按照其他合理方法核定。</w:t>
      </w:r>
    </w:p>
    <w:p w14:paraId="32FA08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采用前款所列一种方法不足以正确核定应纳税额时，可以同时采用两种以上的方法核定。</w:t>
      </w:r>
    </w:p>
    <w:p w14:paraId="4CEACB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纳税人对税务机关采取本条规定的方法核定的应纳税额有异议的，应当提供相关证据，经税务机关认定后，调整应纳税额。</w:t>
      </w:r>
    </w:p>
    <w:p w14:paraId="7C14B49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税务机关负责纳税人纳税信誉等级评定工作。纳税人纳税信誉等级的评定办法由国家税务总局制定。</w:t>
      </w:r>
    </w:p>
    <w:p w14:paraId="79AF87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承包人或者承租人有独立的生产经营权，在财务上独立核算，并定期向发包人或者出租人上缴承包费或者租金的，承包人或者承租人应当就其生产、经营收入和所得纳税，并接受税务管理；但是，法律、行政法规另有规定的除外。</w:t>
      </w:r>
    </w:p>
    <w:p w14:paraId="7C862B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发包人或者出租人应当自发包或者出租之日起30日内将承包人或者承租人的有关情况向主管税务机关报告。发包人或者出租人不报告的，发包人或者出租人与承包人或者承租人承担纳税连带责任。</w:t>
      </w:r>
    </w:p>
    <w:p w14:paraId="5CF505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纳税人有解散、撤销、破产情形的，在清算前应当向其主管税务机关报告；未结清税款的，由其主管税务机关参加清算。</w:t>
      </w:r>
    </w:p>
    <w:p w14:paraId="70A87B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税收征管法第三十六条所称关联企业，是指有下列关系之一的公司、企业和其他经济组织：</w:t>
      </w:r>
    </w:p>
    <w:p w14:paraId="5F26EB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(一)在资金、经营、购销等方面，存在直接或者间接的拥有或者控制关系；</w:t>
      </w:r>
    </w:p>
    <w:p w14:paraId="588B82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(二)直接或者间接地同为第三者所拥有或者控制；</w:t>
      </w:r>
    </w:p>
    <w:p w14:paraId="61662D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(三)在利益上具有相关联的其他关系。</w:t>
      </w:r>
    </w:p>
    <w:p w14:paraId="13D203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纳税人有义务就其与关联企业之间的业务往来，向当地税务机关提供有关的价格、费用标准等资料。具体办法由国家税务总局制定。</w:t>
      </w:r>
    </w:p>
    <w:p w14:paraId="54063F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税收征管法第三十六条所称独立企业之间的业务往来，是指没有关联关系的企业之间按照公平成交价格和营业常规所进行的业务往来。</w:t>
      </w:r>
    </w:p>
    <w:p w14:paraId="400E52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纳税人可以向主管税务机关提出与其关联企业之间业务往来的定价原则和计算方法，主管税务机关审核、批准后，与纳税人预先约定有关定价事项，监督纳税人执行。</w:t>
      </w:r>
    </w:p>
    <w:p w14:paraId="78E465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纳税人与其关联企业之间的业务往来有下列情形之一的，税务机关可以调整其应纳税额：</w:t>
      </w:r>
    </w:p>
    <w:p w14:paraId="39BF78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(一)购销业务未按照独立企业之间的业务往来作价；</w:t>
      </w:r>
    </w:p>
    <w:p w14:paraId="05F9FE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(二)融通资金所支付或者收取的利息超过或者低于没有关联关系的企业之间所能同意的数额，或者利率超过或者低于同类业务的正常利率；</w:t>
      </w:r>
    </w:p>
    <w:p w14:paraId="396C03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(三)提供劳务，未按照独立企业之间业务往来收取或者支付劳务费用；</w:t>
      </w:r>
    </w:p>
    <w:p w14:paraId="6AD351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(四)转让财产、提供财产使用权等业务往来，未按照独立企业之间业务往来作价或者收取、支付费用；</w:t>
      </w:r>
    </w:p>
    <w:p w14:paraId="19677D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(五)未按照独立企业之间业务往来作价的其他情形。</w:t>
      </w:r>
    </w:p>
    <w:p w14:paraId="5CC923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纳税人有本细则第五十四条所列情形之一的，税务机关可以按照下列方法调整计税收入额或者所得额：</w:t>
      </w:r>
    </w:p>
    <w:p w14:paraId="2F3CED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(一)按照独立企业之间进行的相同或者类似业务活动的价格；</w:t>
      </w:r>
    </w:p>
    <w:p w14:paraId="002260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(二)按照再销售给无关联关系的第三者的价格所应取得的收入和利润水平；</w:t>
      </w:r>
    </w:p>
    <w:p w14:paraId="237471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(三)按照成本加合理的费用和利润；</w:t>
      </w:r>
    </w:p>
    <w:p w14:paraId="53F6AF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(四)按照其他合理的方法。</w:t>
      </w:r>
    </w:p>
    <w:p w14:paraId="3213D2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纳税人与其关联企业未按照独立企业之间的业务往来支付价款、费用的，税务机关自该业务往来发生的纳税年度起3年内进行调整；有特殊情况的，可以自该业务往来发生的纳税年度起10年内进行调整。</w:t>
      </w:r>
    </w:p>
    <w:p w14:paraId="3A8A48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税收征管法第三十七条所称未按照规定办理税务登记从事生产、经营的纳税人，包括到外县(市)从事生产、经营而未向营业地税务机关报验登记的纳税人。</w:t>
      </w:r>
    </w:p>
    <w:p w14:paraId="4E1903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税务机关依照税收征管法第三十七条的规定，扣押纳税人商品、货物的，纳税人应当自扣押之日起15日内缴纳税款。</w:t>
      </w:r>
    </w:p>
    <w:p w14:paraId="337A3E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对扣押的鲜活、易腐烂变质或者易失效的商品、货物，税务机关根据被扣押物品的保质期，可以缩短前款规定的扣押期限。</w:t>
      </w:r>
    </w:p>
    <w:p w14:paraId="62F46B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税收征管法第三十八条、第四十条所称其他财产，包括纳税人的房地产、现金、有价证券等不动产和动产。</w:t>
      </w:r>
    </w:p>
    <w:p w14:paraId="3A2203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机动车辆、金银饰品、古玩字画、豪华住宅或者一处以外的住房不属于税收征管法第三十八条、第四十条、第四十二条所称个人及其所扶养家属维持生活必需的住房和用品。</w:t>
      </w:r>
    </w:p>
    <w:p w14:paraId="65C42E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税务机关对单价5000元以下的其他生活用品，不采取税收保全措施和强制执行措施。</w:t>
      </w:r>
    </w:p>
    <w:p w14:paraId="146610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税收征管法第三十八条、第四十条、第四十二条所称个人所扶养家属，是指与纳税人共同居住生活的配偶、直系亲属以及无生活来源并由纳税人扶养的其他亲属。</w:t>
      </w:r>
    </w:p>
    <w:p w14:paraId="159CFA7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税收征管法第三十八条、第八十八条所称担保，包括经税务机关认可的纳税保证人为纳税人提供的纳税保证，以及纳税人或者第三人以其未设置或者未全部设置担保物权的财产提供的担保。</w:t>
      </w:r>
    </w:p>
    <w:p w14:paraId="653786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纳税保证人，是指在中国境内具有纳税担保能力的自然人、法人或者其他经济组织。</w:t>
      </w:r>
    </w:p>
    <w:p w14:paraId="66D0C8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法律、行政法规规定的没有担保资格的单位和个人，不得作为纳税担保人。</w:t>
      </w:r>
    </w:p>
    <w:p w14:paraId="43BC11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纳税担保人同意为纳税人提供纳税担保的，应当填写纳税担保书，写明担保对象、担保范围、担保期限和担保责任以及其他有关事项。担保书须经纳税人、纳税担保人签字盖章并经税务机关同意，方为有效。</w:t>
      </w:r>
    </w:p>
    <w:p w14:paraId="3EE17C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纳税人或者第三人以其财产提供纳税担保的，应当填写财产清单，并写明财产价值以及其他有关事项。纳税担保财产清单须经纳税人、第三人签字盖章并经税务机关确认，方为有效。</w:t>
      </w:r>
    </w:p>
    <w:p w14:paraId="01AB48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税务机关执行扣押、查封商品、货物或者其他财产时，应当由两名以上税务人员执行，并通知被执行人。被执行人是自然人的，应当通知被执行人本人或者其成年家属到场；被执行人是法人或者其他组织的，应当通知其法定代表人或者主要负责人到场；拒不到场的，不影响执行。</w:t>
      </w:r>
    </w:p>
    <w:p w14:paraId="7546DB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税务机关执行税收征管法第三十七条、第三十八条、第四十条的规定，扣押、查封价值相当于应纳税款的商品、货物或者其他财产时，参照同类商品的市场价、出厂价或者评估价估算。</w:t>
      </w:r>
    </w:p>
    <w:p w14:paraId="2B7664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税务机关按照前款方法确定应扣押、查封的商品、货物或者其他财产的价值时，还应当包括滞纳金和拍卖、变卖所发生的费用。</w:t>
      </w:r>
    </w:p>
    <w:p w14:paraId="443756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对价值超过应纳税额且不可分割的商品、货物或者其他财产，税务机关在纳税人、扣缴义务人或者纳税担保人无其他可供强制执行的财产的情况下，可以整体扣押、查封、拍卖。</w:t>
      </w:r>
    </w:p>
    <w:p w14:paraId="354FFF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税务机关执行税收征管法第三十七条、第三十八条、第四十条的规定，实施扣押、查封时，对有产权证件的动产或者不动产，税务机关可以责令当事人将产权证件交税务机关保管，同时可以向有关机关发出协助执行通知书，有关机关在扣押、查封期间不再办理该动产或者不动产的过户手续。</w:t>
      </w:r>
    </w:p>
    <w:p w14:paraId="26FE72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对查封的商品、货物或者其他财产，税务机关可以指令被执行人负责保管，保管责任由被执行人承担。</w:t>
      </w:r>
    </w:p>
    <w:p w14:paraId="5967C7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继续使用被查封的财产不会减少其价值的，税务机关可以允许被执行人继续使用；因被执行人保管或者使用的过错造成的损失，由被执行人承担。</w:t>
      </w:r>
    </w:p>
    <w:p w14:paraId="1C38EF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纳税人在税务机关采取税收保全措施后，按照税务机关规定的期限缴纳税款的，税务机关应当自收到税款或者银行转回的完税凭证之日起1日内解除税收保全。</w:t>
      </w:r>
    </w:p>
    <w:p w14:paraId="6553EC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税务机关将扣押、查封的商品、货物或者其他财产变价抵缴税款时，应当交由依法成立的拍卖机构拍卖；无法委托拍卖或者不适于拍卖的，可以交由当地商业企业代为销售，也可以责令纳税人限期处理；无法委托商业企业销售，纳税人也无法处理的，可以由税务机关变价处理，具体办法由国家税务总局规定。国家禁止自由买卖的商品，应当交由有关单位按照国家规定的价格收购。</w:t>
      </w:r>
    </w:p>
    <w:p w14:paraId="12056A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拍卖或者变卖所得抵缴税款、滞纳金、罚款以及拍卖、变卖等费用后，剩余部分应当在3日内退还被执行人。</w:t>
      </w:r>
    </w:p>
    <w:p w14:paraId="220E80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税收征管法第三十九条、第四十三条所称损失，是指因税务机关的责任，使纳税人、扣缴义务人或者纳税担保人的合法利益遭受的直接损失。</w:t>
      </w:r>
    </w:p>
    <w:p w14:paraId="4C3E6FD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税收征管法所称其他金融机构，是指信托投资公司、信用合作社、邮政储蓄机构以及经中国人民银行、中国证券监督管理委员会等批准设立的其他金融机构。</w:t>
      </w:r>
    </w:p>
    <w:p w14:paraId="40498D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税收征管法所称存款，包括独资企业投资人、合伙企业合伙人、个体工商户的储蓄存款以及股东资金账户中的资金等。</w:t>
      </w:r>
    </w:p>
    <w:p w14:paraId="68AAA7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从事生产、经营的纳税人、扣缴义务人未按照规定的期限缴纳或者解缴税款的，纳税担保人未按照规定的期限缴纳所担保的税款的，由税务机关发出限期缴纳税款通知书，责令缴纳或者解缴税款的最长期限不得超过15日。</w:t>
      </w:r>
    </w:p>
    <w:p w14:paraId="39721A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欠缴税款的纳税人或者其法定代表人在出境前未按照规定结清应纳税款、滞纳金或者提供纳税担保的，税务机关可以通知出入境管理机关阻止其出境。阻止出境的具体办法，由国家税务总局会同公安部制定。</w:t>
      </w:r>
    </w:p>
    <w:p w14:paraId="2807B7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税收征管法第三十二条规定的加收滞纳金的起止时间，为法律、行政法规规定或者税务机关依照法律、行政法规的规定确定的税款缴纳期限届满次日起至纳税人、扣缴义务人实际缴纳或者解缴税款之日止。</w:t>
      </w:r>
    </w:p>
    <w:p w14:paraId="55AFB3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县级以上各级税务机关应当将纳税人的欠税情况，在办税场所或者广播、电视、报纸、期刊、网络等新闻媒体上定期公告。</w:t>
      </w:r>
    </w:p>
    <w:p w14:paraId="182101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对纳税人欠缴税款的情况实行定期公告的办法，由国家税务总局制定。</w:t>
      </w:r>
    </w:p>
    <w:p w14:paraId="3DA643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税收征管法第四十九条所称欠缴税款数额较大，是指欠缴税款5万元以上。</w:t>
      </w:r>
    </w:p>
    <w:p w14:paraId="42FE48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税务机关发现纳税人多缴税款的，应当自发现之日起10日内办理退还手续；纳税人发现多缴税款，要求退还的，税务机关应当自接到纳税人退还申请之日起30日内查实并办理退还手续。</w:t>
      </w:r>
    </w:p>
    <w:p w14:paraId="2B8971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税收征管法第五十一条规定的加算银行同期存款利息的多缴税款退税，不包括依法预缴税款形成的结算退税、出口退税和各种减免退税。</w:t>
      </w:r>
    </w:p>
    <w:p w14:paraId="5A031E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退税利息按照税务机关办理退税手续当天中国人民银行规定的活期存款利率计算。</w:t>
      </w:r>
    </w:p>
    <w:p w14:paraId="4AF5B80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当纳税人既有应退税款又有欠缴税款的，税务机关可以将应退税款和利息先抵扣欠缴税款；抵扣后有余额的，退还纳税人。</w:t>
      </w:r>
    </w:p>
    <w:p w14:paraId="11BD5D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税收征管法第五十二条所称税务机关的责任，是指税务机关适用税收法律、行政法规不当或者执法行为违法。</w:t>
      </w:r>
    </w:p>
    <w:p w14:paraId="4931C1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税收征管法第五十二条所称纳税人、扣缴义务人计算错误等失误，是指非主观故意的计算公式运用错误以及明显的笔误。</w:t>
      </w:r>
    </w:p>
    <w:p w14:paraId="69E34A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税收征管法第五十二条所称特殊情况，是指纳税人或者扣缴义务人因计算错误等失误，未缴或者少缴、未扣或者少扣、未收或者少收税款，累计数额在10万元以上的。</w:t>
      </w:r>
    </w:p>
    <w:p w14:paraId="5CFB42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税收征管法第五十二条规定的补缴和追征税款、滞纳金的期限，自纳税人、扣缴义务人应缴未缴或者少缴税款之日起计算。</w:t>
      </w:r>
    </w:p>
    <w:p w14:paraId="5041D0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审计机关、财政机关依法进行审计、检查时，对税务机关的税收违法行为作出的决定，税务机关应当执行；发现被审计、检查单位有税收违法行为的，向被审计、检查单位下达决定、意见书，责成被审计、检查单位向税务机关缴纳应当缴纳的税款、滞纳金。税务机关应当根据有关机关的决定、意见书，依照税收法律、行政法规的规定，将应收的税款、滞纳金按照国家规定的税收征收管理范围和税款入库预算级次缴入国库。</w:t>
      </w:r>
    </w:p>
    <w:p w14:paraId="13A24E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税务机关应当自收到审计机关、财政机关的决定、意见书之日起30日内将执行情况书面回复审计机关、财政机关。</w:t>
      </w:r>
    </w:p>
    <w:p w14:paraId="7AF200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有关机关不得将其履行职责过程中发现的税款、滞纳金自行征收入库或者以其他款项的名义自行处理、占压。</w:t>
      </w:r>
    </w:p>
    <w:p w14:paraId="7920930C">
      <w:pPr>
        <w:pStyle w:val="2"/>
        <w:rPr>
          <w:rFonts w:ascii="方正黑体_GBK"/>
        </w:rPr>
      </w:pPr>
      <w:r>
        <w:rPr>
          <w:rFonts w:hint="eastAsia" w:ascii="方正黑体_GBK" w:hAnsi="Times New Roman" w:cs="Times New Roman"/>
        </w:rPr>
        <w:t>第六章　税务检查</w:t>
      </w:r>
    </w:p>
    <w:p w14:paraId="66BD57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税务机关应当建立科学的检查制度，统筹安排检查工作，严格控制对纳税人、扣缴义务人的检查次数。</w:t>
      </w:r>
    </w:p>
    <w:p w14:paraId="1C5290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税务机关应当制定合理的税务稽查工作规程，负责选案、检查、审理、执行的人员的职责应当明确，并相互分离、相互制约，规范选案程序和检查行为。</w:t>
      </w:r>
    </w:p>
    <w:p w14:paraId="420D6B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税务检查工作的具体办法，由国家税务总局制定。</w:t>
      </w:r>
    </w:p>
    <w:p w14:paraId="139D51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税务机关行使税收征管法第五十四条第(一)项职权时，可以在纳税人、扣缴义务人的业务场所进行；必要时，经县以上税务局(分局)局长批准，可以将纳税人、扣缴义务人以前会计年度的账簿、记账凭证、报表和其他有关资料调回税务机关检查，但是税务机关必须向纳税人、扣缴义务人开付清单，并在3个月内完整退还；有特殊情况的，经设区的市、自治州以上税务局局长批准，税务机关可以将纳税人、扣缴义务人当年的账簿、记账凭证、报表和其他有关资料调回检查，但是税务机关必须在30日内退还。</w:t>
      </w:r>
    </w:p>
    <w:p w14:paraId="52927B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税务机关行使税收征管法第五十四条第(六)项职权时，应当指定专人负责，凭全国统一格式的检查存款账户许可证明进行，并有责任为被检查人保守秘密。</w:t>
      </w:r>
    </w:p>
    <w:p w14:paraId="75338E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检查存款账户许可证明，由国家税务总局制定。</w:t>
      </w:r>
    </w:p>
    <w:p w14:paraId="457638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税务机关查询的内容，包括纳税人存款账户余额和资金往来情况。</w:t>
      </w:r>
    </w:p>
    <w:p w14:paraId="64C3D3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依照税收征管法第五十五条规定，税务机关采取税收保全措施的期限一般不得超过6个月；重大案件需要延长的，应当报国家税务总局批准。</w:t>
      </w:r>
    </w:p>
    <w:p w14:paraId="5AF0C7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税务机关和税务人员应当依照税收征管法及本细则的规定行使税务检查职权。</w:t>
      </w:r>
    </w:p>
    <w:p w14:paraId="1F829E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人员进行税务检查时，应当出示税务检查证和税务检查通知书；无税务检查证和税务检查通知书的，纳税人、扣缴义务人及其他当事人有权拒绝检查。税务机关对集贸市场及集中经营业户进行检查时，可以使用统一的税务检查通知书。</w:t>
      </w:r>
    </w:p>
    <w:p w14:paraId="77C550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税务检查证和税务检查通知书的式样、使用和管理的具体办法，由国家税务总局制定。</w:t>
      </w:r>
    </w:p>
    <w:p w14:paraId="59AB477D">
      <w:pPr>
        <w:pStyle w:val="2"/>
        <w:rPr>
          <w:rFonts w:ascii="方正黑体_GBK"/>
        </w:rPr>
      </w:pPr>
      <w:r>
        <w:rPr>
          <w:rFonts w:hint="eastAsia" w:ascii="方正黑体_GBK" w:hAnsi="Times New Roman" w:cs="Times New Roman"/>
        </w:rPr>
        <w:t>第七章　法律责任</w:t>
      </w:r>
    </w:p>
    <w:p w14:paraId="1B91C3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纳税人未按照规定办理税务登记证件验证或者换证手续的，由税务机关责令限期改正，可以处2000元以下的罚款；情节严重的，处2000元以上1万元以下的罚款。</w:t>
      </w:r>
    </w:p>
    <w:p w14:paraId="5B00BE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非法印制、转借、倒卖、变造或者伪造完税凭证的，由税务机关责令改正，处2000元以上1万元以下的罚款；情节严重的，处1万元以上5万元以下的罚款；构成犯罪的，依法追究刑事责任。</w:t>
      </w:r>
    </w:p>
    <w:p w14:paraId="1CFC38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银行和其他金融机构未依照税收征管法的规定在从事生产、经营的纳税人的账户中登录税务登记证件号码，或者未按规定在税务登记证件中登录从事生产、经营的纳税人的账户账号的，由税务机关责令其限期改正，处2000元以上2万元以下的罚款；情节严重的，处2万元以上5万元以下的罚款。</w:t>
      </w:r>
    </w:p>
    <w:p w14:paraId="37F1E5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为纳税人、扣缴义务人非法提供银行账户、发票、证明或者其他方便，导致未缴、少缴税款或者骗取国家出口退税款的，税务机关除没收其违法所得外，可以处未缴、少缴或者骗取的税款1倍以下的罚款。</w:t>
      </w:r>
    </w:p>
    <w:p w14:paraId="12A3B6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纳税人拒绝代扣、代收税款的，扣缴义务人应当向税务机关报告，由税务机关直接向纳税人追缴税款、滞纳金；纳税人拒不缴纳的，依照税收征管法第六十八条的规定执行。</w:t>
      </w:r>
    </w:p>
    <w:p w14:paraId="176CB02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税务机关依照税收征管法第五十四条第(五)项的规定，到车站、码头、机场、邮政企业及其分支机构检查纳税人有关情况时，有关单位拒绝的，由税务机关责令改正，可以处1万元以下的罚款；情节严重的，处1万元以上5万元以下的罚款。</w:t>
      </w:r>
    </w:p>
    <w:p w14:paraId="6BEBFE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纳税人、扣缴义务人有下列情形之一的，依照税收征管法第七十条的规定处罚：</w:t>
      </w:r>
    </w:p>
    <w:p w14:paraId="7EB2FA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(一)提供虚假资料，不如实反映情况，或者拒绝提供有关资料的；</w:t>
      </w:r>
    </w:p>
    <w:p w14:paraId="20E8EC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(二)拒绝或者阻止税务机关记录、录音、录像、照相和复制与案件有关的情况和资料的；</w:t>
      </w:r>
    </w:p>
    <w:p w14:paraId="24E02C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(三)在检查期间，纳税人、扣缴义务人转移、隐匿、销毁有关资料的；</w:t>
      </w:r>
    </w:p>
    <w:p w14:paraId="32F6A9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(四)有不依法接受税务检查的其他情形的。</w:t>
      </w:r>
    </w:p>
    <w:p w14:paraId="632042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税务人员私分扣押、查封的商品、货物或者其他财产，情节严重，构成犯罪的，依法追究刑事责任；尚不构成犯罪的，依法给予行政处分。</w:t>
      </w:r>
    </w:p>
    <w:p w14:paraId="3BA23C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税务代理人违反税收法律、行政法规，造成纳税人未缴或者少缴税款的，除由纳税人缴纳或者补缴应纳税款、滞纳金外，对税务代理人处纳税人未缴或者少缴税款50%以上3倍以下的罚款。</w:t>
      </w:r>
    </w:p>
    <w:p w14:paraId="5F3D80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税务机关对纳税人、扣缴义务人及其他当事人处以罚款或者没收违法所得时，应当开付罚没凭证；未开付罚没凭证的，纳税人、扣缴义务人以及其他当事人有权拒绝给付。</w:t>
      </w:r>
    </w:p>
    <w:p w14:paraId="1CB213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税收征管法第八十八条规定的纳税争议，是指纳税人、扣缴义务人、纳税担保人对税务机关确定纳税主体、征税对象、征税范围、减税、免税及退税、适用税率、计税依据、纳税环节、纳税期限、纳税地点以及税款征收方式等具体行政行为有异议而发生的争议。</w:t>
      </w:r>
    </w:p>
    <w:p w14:paraId="64378A9B">
      <w:pPr>
        <w:pStyle w:val="2"/>
        <w:rPr>
          <w:rFonts w:ascii="方正黑体_GBK"/>
        </w:rPr>
      </w:pPr>
      <w:r>
        <w:rPr>
          <w:rFonts w:hint="eastAsia" w:ascii="方正黑体_GBK" w:hAnsi="Times New Roman" w:cs="Times New Roman"/>
        </w:rPr>
        <w:t>第八章　文书送达</w:t>
      </w:r>
    </w:p>
    <w:p w14:paraId="435F1B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税务机关送达税务文书，应当直接送交受送达人。</w:t>
      </w:r>
    </w:p>
    <w:p w14:paraId="2C8283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受送达人是公民的，应当由本人直接签收；本人不在的，交其同住成年家属签收。</w:t>
      </w:r>
    </w:p>
    <w:p w14:paraId="244A35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受送达人是法人或者其他组织的，应当由法人的法定代表人、其他组织的主要负责人或者该法人、组织的财务负责人、负责收件的人签收。受送达人有代理人的，可以送交其代理人签收。</w:t>
      </w:r>
    </w:p>
    <w:p w14:paraId="5A0B64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送达税务文书应当有送达回证，并由受送达人或者本细则规定的其他签收人在送达回证上记明收到日期，签名或者盖章，即为送达。</w:t>
      </w:r>
    </w:p>
    <w:p w14:paraId="203000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受送达人或者本细则规定的其他签收人拒绝签收税务文书的，送达人应当在送达回证上记明拒收理由和日期，并由送达人和见证人签名或者盖章，将税务文书留在受送达人处，即视为送达。</w:t>
      </w:r>
    </w:p>
    <w:p w14:paraId="300AFC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　</w:t>
      </w:r>
      <w:r>
        <w:rPr>
          <w:rFonts w:ascii="Times New Roman" w:hAnsi="Times New Roman" w:eastAsia="仿宋_GB2312" w:cs="Times New Roman"/>
          <w:sz w:val="32"/>
          <w:szCs w:val="32"/>
        </w:rPr>
        <w:t>直接送达税务文书有困难的，可以委托其他有关机关或者其他单位代为送达，或者邮寄送达。</w:t>
      </w:r>
    </w:p>
    <w:p w14:paraId="3D34C0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　</w:t>
      </w:r>
      <w:r>
        <w:rPr>
          <w:rFonts w:ascii="Times New Roman" w:hAnsi="Times New Roman" w:eastAsia="仿宋_GB2312" w:cs="Times New Roman"/>
          <w:sz w:val="32"/>
          <w:szCs w:val="32"/>
        </w:rPr>
        <w:t>直接或者委托送达税务文书的，以签收人或者见证人在送达回证上的签收或者注明的收件日期为送达日期；邮寄送达的，以挂号函件回执上注明的收件日期为送达日期，并视为已送达。</w:t>
      </w:r>
    </w:p>
    <w:p w14:paraId="473FAE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　</w:t>
      </w:r>
      <w:r>
        <w:rPr>
          <w:rFonts w:ascii="Times New Roman" w:hAnsi="Times New Roman" w:eastAsia="仿宋_GB2312" w:cs="Times New Roman"/>
          <w:sz w:val="32"/>
          <w:szCs w:val="32"/>
        </w:rPr>
        <w:t>有下列情形之一的，税务机关可以公告送达税务文书，自公告之日起满30日，即视为送达：</w:t>
      </w:r>
    </w:p>
    <w:p w14:paraId="549487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(一)同一送达事项的受送达人众多；</w:t>
      </w:r>
    </w:p>
    <w:p w14:paraId="716776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(二)采用本章规定的其他送达方式无法送达。</w:t>
      </w:r>
    </w:p>
    <w:p w14:paraId="0BFC62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　</w:t>
      </w:r>
      <w:r>
        <w:rPr>
          <w:rFonts w:ascii="Times New Roman" w:hAnsi="Times New Roman" w:eastAsia="仿宋_GB2312" w:cs="Times New Roman"/>
          <w:sz w:val="32"/>
          <w:szCs w:val="32"/>
        </w:rPr>
        <w:t>税务文书的格式由国家税务总局制定。本细则所称税务文书，包括：</w:t>
      </w:r>
    </w:p>
    <w:p w14:paraId="0C1F89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(一)税务事项通知书；</w:t>
      </w:r>
    </w:p>
    <w:p w14:paraId="3DBC4A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(二)责令限期改正通知书；</w:t>
      </w:r>
    </w:p>
    <w:p w14:paraId="2147C6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(三)税收保全措施决定书；</w:t>
      </w:r>
    </w:p>
    <w:p w14:paraId="279FAB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(四)税收强制执行决定书；</w:t>
      </w:r>
    </w:p>
    <w:p w14:paraId="6D79E9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(五)税务检查通知书；</w:t>
      </w:r>
    </w:p>
    <w:p w14:paraId="740050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(六)税务处理决定书；</w:t>
      </w:r>
    </w:p>
    <w:p w14:paraId="45CAF6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(七)税务行政处罚决定书；</w:t>
      </w:r>
    </w:p>
    <w:p w14:paraId="673BA8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(八)行政复议决定书；</w:t>
      </w:r>
    </w:p>
    <w:p w14:paraId="7F2F66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(九)其他税务文书。</w:t>
      </w:r>
    </w:p>
    <w:p w14:paraId="0FC6F510">
      <w:pPr>
        <w:pStyle w:val="2"/>
        <w:rPr>
          <w:rFonts w:ascii="方正黑体_GBK"/>
        </w:rPr>
      </w:pPr>
      <w:r>
        <w:rPr>
          <w:rFonts w:hint="eastAsia" w:ascii="方正黑体_GBK" w:hAnsi="Times New Roman" w:cs="Times New Roman"/>
        </w:rPr>
        <w:t>第九章　附则</w:t>
      </w:r>
    </w:p>
    <w:p w14:paraId="694FCC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第一百零八条　</w:t>
      </w:r>
      <w:r>
        <w:rPr>
          <w:rFonts w:ascii="Times New Roman" w:hAnsi="Times New Roman" w:eastAsia="仿宋_GB2312" w:cs="Times New Roman"/>
          <w:sz w:val="32"/>
          <w:szCs w:val="32"/>
        </w:rPr>
        <w:t>税收征管法及本细则所称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日内</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届满</w:t>
      </w:r>
      <w:r>
        <w:rPr>
          <w:rFonts w:hAnsi="宋体" w:cs="Times New Roman"/>
          <w:sz w:val="32"/>
          <w:szCs w:val="32"/>
        </w:rPr>
        <w:t>”</w:t>
      </w:r>
      <w:r>
        <w:rPr>
          <w:rFonts w:ascii="Times New Roman" w:hAnsi="Times New Roman" w:eastAsia="仿宋_GB2312" w:cs="Times New Roman"/>
          <w:sz w:val="32"/>
          <w:szCs w:val="32"/>
        </w:rPr>
        <w:t>均含本数。</w:t>
      </w:r>
    </w:p>
    <w:p w14:paraId="64209C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第一百零九条　</w:t>
      </w:r>
      <w:r>
        <w:rPr>
          <w:rFonts w:ascii="Times New Roman" w:hAnsi="Times New Roman" w:eastAsia="仿宋_GB2312" w:cs="Times New Roman"/>
          <w:sz w:val="32"/>
          <w:szCs w:val="32"/>
        </w:rPr>
        <w:t>税收征管法及本细则所规定期限的最后一日是法定休假日的，以休假日期满的次日为期限的最后一日；在期限内有连续3日以上法定休假日的，按休假日天数顺延。</w:t>
      </w:r>
    </w:p>
    <w:p w14:paraId="186BEB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第一百一十条　</w:t>
      </w:r>
      <w:r>
        <w:rPr>
          <w:rFonts w:ascii="Times New Roman" w:hAnsi="Times New Roman" w:eastAsia="仿宋_GB2312" w:cs="Times New Roman"/>
          <w:sz w:val="32"/>
          <w:szCs w:val="32"/>
        </w:rPr>
        <w:t>税收征管法第三十条第三款规定的代扣、代收手续费，纳入预算管理，由税务机关依照法律、行政法规的规定付给扣缴义务人。</w:t>
      </w:r>
    </w:p>
    <w:p w14:paraId="483953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第一百一十一条　</w:t>
      </w:r>
      <w:r>
        <w:rPr>
          <w:rFonts w:ascii="Times New Roman" w:hAnsi="Times New Roman" w:eastAsia="仿宋_GB2312" w:cs="Times New Roman"/>
          <w:sz w:val="32"/>
          <w:szCs w:val="32"/>
        </w:rPr>
        <w:t>纳税人、扣缴义务人委托税务代理人代为办理税务事宜的办法，由国家税务总局规定。</w:t>
      </w:r>
    </w:p>
    <w:p w14:paraId="442159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第一百一十二条　</w:t>
      </w:r>
      <w:r>
        <w:rPr>
          <w:rFonts w:ascii="Times New Roman" w:hAnsi="Times New Roman" w:eastAsia="仿宋_GB2312" w:cs="Times New Roman"/>
          <w:sz w:val="32"/>
          <w:szCs w:val="32"/>
        </w:rPr>
        <w:t>耕地占用税、契税、农业税、牧业税的征收管理，按照国务院的有关规定执行。</w:t>
      </w:r>
    </w:p>
    <w:p w14:paraId="7CAB2F5B">
      <w:pPr>
        <w:ind w:firstLine="640" w:firstLineChars="200"/>
      </w:pPr>
      <w:r>
        <w:rPr>
          <w:rFonts w:ascii="Times New Roman" w:hAnsi="Times New Roman" w:eastAsia="黑体" w:cs="Times New Roman"/>
          <w:sz w:val="32"/>
          <w:szCs w:val="32"/>
        </w:rPr>
        <w:t>第一百一十三条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9E67C">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FDA2FD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15F2A78"/>
    <w:rsid w:val="003B0C4C"/>
    <w:rsid w:val="007563AA"/>
    <w:rsid w:val="00995195"/>
    <w:rsid w:val="015F2A78"/>
    <w:rsid w:val="02131245"/>
    <w:rsid w:val="38A162AD"/>
    <w:rsid w:val="38FB3EBF"/>
    <w:rsid w:val="3D0A222F"/>
    <w:rsid w:val="46982B73"/>
    <w:rsid w:val="49127F38"/>
    <w:rsid w:val="5AEF1803"/>
    <w:rsid w:val="5E245F3B"/>
    <w:rsid w:val="60B35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1968</Words>
  <Characters>11220</Characters>
  <Lines>93</Lines>
  <Paragraphs>26</Paragraphs>
  <TotalTime>1</TotalTime>
  <ScaleCrop>false</ScaleCrop>
  <LinksUpToDate>false</LinksUpToDate>
  <CharactersWithSpaces>13162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2019-05-22T14:10:00Z</dcterms:created>
  <dc:creator>Administrator</dc:creator>
  <cp:lastModifiedBy>拱酝爻涣和</cp:lastModifiedBy>
  <cp:lastPrinted>2019-05-25T01:14:00Z</cp:lastPrinted>
  <dcterms:modified xsi:type="dcterms:W3CDTF">2025-06-29T10:45:09Z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66F60CBD7451480094D493E2FA44E792_12</vt:lpwstr>
  </property>
</Properties>
</file>