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7B096">
      <w:pPr>
        <w:pStyle w:val="4"/>
        <w:ind w:firstLine="880" w:firstLineChars="200"/>
        <w:jc w:val="center"/>
        <w:rPr>
          <w:rFonts w:hint="eastAsia" w:ascii="Times New Roman" w:hAnsi="Times New Roman" w:cs="Times New Roman"/>
          <w:sz w:val="44"/>
          <w:szCs w:val="44"/>
        </w:rPr>
      </w:pPr>
      <w:bookmarkStart w:id="0" w:name="_GoBack"/>
      <w:bookmarkEnd w:id="0"/>
    </w:p>
    <w:p w14:paraId="77706679">
      <w:pPr>
        <w:pStyle w:val="4"/>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货物进出口管理条例</w:t>
      </w:r>
    </w:p>
    <w:p w14:paraId="5B16545A">
      <w:pPr>
        <w:pStyle w:val="4"/>
        <w:ind w:firstLine="640" w:firstLineChars="200"/>
        <w:rPr>
          <w:rFonts w:hint="eastAsia" w:ascii="Times New Roman" w:hAnsi="Times New Roman" w:eastAsia="楷体_GB2312" w:cs="Times New Roman"/>
          <w:sz w:val="32"/>
          <w:szCs w:val="32"/>
        </w:rPr>
      </w:pPr>
    </w:p>
    <w:p w14:paraId="4BA65D3F">
      <w:pPr>
        <w:pStyle w:val="4"/>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27236D2">
      <w:pPr>
        <w:pStyle w:val="2"/>
        <w:jc w:val="center"/>
        <w:rPr>
          <w:rFonts w:ascii="方正黑体_GBK" w:eastAsia="方正黑体_GBK"/>
        </w:rPr>
      </w:pPr>
      <w:r>
        <w:rPr>
          <w:rFonts w:hint="eastAsia" w:ascii="方正黑体_GBK" w:hAnsi="Times New Roman" w:eastAsia="方正黑体_GBK" w:cs="Times New Roman"/>
        </w:rPr>
        <w:t>第一章　总则</w:t>
      </w:r>
    </w:p>
    <w:p w14:paraId="1DEDF5D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为了规范货物进出口管理，维护货物进出口秩序，促进对外贸易健康发展，根据《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对外贸易法》(以下简称对外贸易法)的有关规定，制定本条例。</w:t>
      </w:r>
    </w:p>
    <w:p w14:paraId="39D8B87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从事将货物进口到</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关境内或者将货物出口到</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关境外的贸易活动，应当遵守本条例。</w:t>
      </w:r>
    </w:p>
    <w:p w14:paraId="2D7EDF0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国家对货物进出口实行统一的管理制度。</w:t>
      </w:r>
    </w:p>
    <w:p w14:paraId="7663492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国家准许货物的自由进出口，依法维护公平、有序的货物进出口贸易。</w:t>
      </w:r>
    </w:p>
    <w:p w14:paraId="2AF63AC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除法律、行政法规明确禁止或者限制进出口的外，任何单位和个人均不得对货物进出口设置、维持禁止或者限制措施。</w:t>
      </w:r>
    </w:p>
    <w:p w14:paraId="406DCAF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在货物进出口贸易方面根据所缔结或者参加的国际条约、协定，给予其他缔约方、参加方最惠国待遇、国民待遇，或者根据互惠、对等原则给予对方最惠国待遇、国民待遇。</w:t>
      </w:r>
    </w:p>
    <w:p w14:paraId="2855176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任何国家或者地区在货物进出口贸易方面对</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采取歧视性的禁止、限制或者其他类似措施的，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可以根据实际情况对该国家或者地区采取相应的措施。</w:t>
      </w:r>
    </w:p>
    <w:p w14:paraId="781531D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国务院对外经济贸易主管部门(以下简称国务院外经贸主管部门)依照对外贸易法和本条例的规定，主管全国货物进出口贸易工作。</w:t>
      </w:r>
    </w:p>
    <w:p w14:paraId="34C47AA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国务院有关部门按照国务院规定的职责，依照本条例的规定负责货物进出口贸易管理的有关工作。</w:t>
      </w:r>
    </w:p>
    <w:p w14:paraId="6508784B">
      <w:pPr>
        <w:pStyle w:val="2"/>
        <w:jc w:val="center"/>
        <w:rPr>
          <w:rFonts w:ascii="方正黑体_GBK" w:eastAsia="方正黑体_GBK"/>
        </w:rPr>
      </w:pPr>
      <w:r>
        <w:rPr>
          <w:rFonts w:hint="eastAsia" w:ascii="方正黑体_GBK" w:hAnsi="Times New Roman" w:eastAsia="方正黑体_GBK" w:cs="Times New Roman"/>
        </w:rPr>
        <w:t>第二章　货物进口管理</w:t>
      </w:r>
    </w:p>
    <w:p w14:paraId="111E8034">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第一节　禁止进口的货物</w:t>
      </w:r>
    </w:p>
    <w:p w14:paraId="7E3A7FE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有对外贸易法第十七条规定情形之一的货物，禁止进口。其他法律、行政法规规定禁止进口的，依照其规定。</w:t>
      </w:r>
    </w:p>
    <w:p w14:paraId="67624F8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禁止进口的货物目录由国务院外经贸主管部门会同国务院有关部门制定、调整并公布。</w:t>
      </w:r>
    </w:p>
    <w:p w14:paraId="23E7696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属于禁止进口的货物，不得进口。</w:t>
      </w:r>
    </w:p>
    <w:p w14:paraId="6B6B5D85">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第二节　限制进口的货物</w:t>
      </w:r>
    </w:p>
    <w:p w14:paraId="1BAC109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有对外贸易法第十六条第(一)、(四)、(五)、(六)、(七)项规定情形之一的货物，限制进口。其他法律、行政法规规定限制进口的，依照其规定。</w:t>
      </w:r>
    </w:p>
    <w:p w14:paraId="1100255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限制进口的货物目录由国务院外经贸主管部门会同国务院有关部门制定、调整并公布。</w:t>
      </w:r>
    </w:p>
    <w:p w14:paraId="0734C77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限制进口的货物目录，应当至少在实施前21天公布；在紧急情况下，应当不迟于实施之日公布。</w:t>
      </w:r>
    </w:p>
    <w:p w14:paraId="610E6AA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国家规定有数量限制的限制进口货物，实行配额管理；其他限制进口货物，实行许可证管理。</w:t>
      </w:r>
    </w:p>
    <w:p w14:paraId="2C8FF20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实行关税配额管理的进口货物，依照本章第四节的规定执行。</w:t>
      </w:r>
    </w:p>
    <w:p w14:paraId="41FD4C2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实行配额管理的限制进口货物，由国务院外经贸主管部门和国务院有关经济管理部门(以下统称进口配额管理部门)按照国务院规定的职责划分进行管理。</w:t>
      </w:r>
    </w:p>
    <w:p w14:paraId="2D32B41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对实行配额管理的限制进口货物，进口配额管理部门应当在每年7月31日前公布下一年度进口配额总量。</w:t>
      </w:r>
    </w:p>
    <w:p w14:paraId="278569F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配额申请人应当在每年8月1日至8月31日向进口配额管理部门提出下一年度进口配额的申请。</w:t>
      </w:r>
    </w:p>
    <w:p w14:paraId="2EA5200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进口配额管理部门应当在每年10月31日前将下一年度的配额分配给配额申请人。</w:t>
      </w:r>
    </w:p>
    <w:p w14:paraId="0F63BF6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进口配额管理部门可以根据需要对年度配额总量进行调整，并在实施前21天予以公布。</w:t>
      </w:r>
    </w:p>
    <w:p w14:paraId="4C87786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配额可以按照对所有申请统一办理的方式分配。</w:t>
      </w:r>
    </w:p>
    <w:p w14:paraId="52580C4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按照对所有申请统一办理的方式分配配额的，进口配额管理部门应当自规定的申请期限截止之日起60天内作出是否发放配额的决定。</w:t>
      </w:r>
    </w:p>
    <w:p w14:paraId="697AFAA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进口配额管理部门分配配额时，应当考虑下列因素：</w:t>
      </w:r>
    </w:p>
    <w:p w14:paraId="51966E1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(一)申请人的进口实绩；</w:t>
      </w:r>
    </w:p>
    <w:p w14:paraId="5A36E6E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(二)以往分配的配额是否得到充分使用；</w:t>
      </w:r>
    </w:p>
    <w:p w14:paraId="023E4BF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(三)申请人的生产能力、经营规模、销售状况；</w:t>
      </w:r>
    </w:p>
    <w:p w14:paraId="30470C3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(四)新的进口经营者的申请情况；</w:t>
      </w:r>
    </w:p>
    <w:p w14:paraId="072CC87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(五)申请配额的数量情况；</w:t>
      </w:r>
    </w:p>
    <w:p w14:paraId="4C09F8B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(六)需要考虑的其他因素。</w:t>
      </w:r>
    </w:p>
    <w:p w14:paraId="6440864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进口经营者凭进口配额管理部门发放的配额证明，向国务院外经贸主管部门申领进口配额许可证。国务院外经贸主管部门应当自收到申请之日起3个工作日内发放进口配额许可证。</w:t>
      </w:r>
    </w:p>
    <w:p w14:paraId="731054F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进口经营者凭国务院外经贸主管部门发放的进口配额许可证，向海关办理报关验放手续。</w:t>
      </w:r>
    </w:p>
    <w:p w14:paraId="53FC166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配额持有者未使用完其持有的年度配额的，应当在当年9月1日前将未使用的配额交还进口配额管理部门；未按期交还并且在当年年底前未使用完的，进口配额管理部门可以在下一年度对其扣减相应的配额。</w:t>
      </w:r>
    </w:p>
    <w:p w14:paraId="5FF2064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实行许可证管理的限制进口货物，进口经营者应当向国务院外经贸主管部门或者国务院有关部门(以下统称进口许可证管理部门)提出申请。进口许可证管理部门应当自收到申请之日起30天内决定是否许可。</w:t>
      </w:r>
    </w:p>
    <w:p w14:paraId="7E64D49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进口经营者凭进口许可证管理部门发放的进口许可证，向海关办理报关验放手续。</w:t>
      </w:r>
    </w:p>
    <w:p w14:paraId="2F2C8F4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前款所称进口许可证，包括法律、行政法规规定的各种具有许可进口性质的证明、文件。</w:t>
      </w:r>
    </w:p>
    <w:p w14:paraId="5DA3DF6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进口配额管理部门和进口许可证管理部门应当根据本条例的规定制定具体管理办法，对申请人的资格、受理申请的部门、审查的原则和程序等事项作出明确规定并在实施前予以公布。</w:t>
      </w:r>
    </w:p>
    <w:p w14:paraId="0348639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受理申请的部门一般为一个部门。</w:t>
      </w:r>
    </w:p>
    <w:p w14:paraId="41FF4FD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进口配额管理部门和进口许可证管理部门要求申请人提交的文件，应当限于为保证实施管理所必需的文件和资料，不得仅因细微的、非实质性的错讹拒绝接受申请。</w:t>
      </w:r>
    </w:p>
    <w:p w14:paraId="74CED364">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第三节　自由进口的货物</w:t>
      </w:r>
    </w:p>
    <w:p w14:paraId="4C30EB2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进口属于自由进口的货物，不受限制。</w:t>
      </w:r>
    </w:p>
    <w:p w14:paraId="36F0D25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基于监测货物进口情况的需要，国务院外经贸主管部门和国务院有关经济管理部门可以按照国务院规定的职责划分，对部分属于自由进口的货物实行自动进口许可管理。</w:t>
      </w:r>
    </w:p>
    <w:p w14:paraId="15DF416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实行自动进口许可管理的货物目录，应当至少在实施前21天公布。</w:t>
      </w:r>
    </w:p>
    <w:p w14:paraId="57BC8E2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进口属于自动进口许可管理的货物，均应当给予许可。</w:t>
      </w:r>
    </w:p>
    <w:p w14:paraId="366D3BF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进口属于自动进口许可管理的货物，进口经营者应当在办理海关报关手续前，向国务院外经贸主管部门或者国务院有关经济管理部门提交自动进口许可申请。</w:t>
      </w:r>
    </w:p>
    <w:p w14:paraId="7437C53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国务院外经贸主管部门或者国务院有关经济管理部门应当在收到申请后，立即发放自动进口许可证明；在特殊情况下，最长不得超过10天。</w:t>
      </w:r>
    </w:p>
    <w:p w14:paraId="13CFEAB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进口经营者凭国务院外经贸主管部门或者国务院有关经济管理部门发放的自动进口许可证明，向海关办理报关验放手续。</w:t>
      </w:r>
    </w:p>
    <w:p w14:paraId="324AFFD3">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第四节　关税配额管理的货物</w:t>
      </w:r>
    </w:p>
    <w:p w14:paraId="6973D5A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实行关税配额管理的进口货物目录，由国务院外经贸主管部门会同国务院有关经济管理部门制定、调整并公布。</w:t>
      </w:r>
    </w:p>
    <w:p w14:paraId="558BAFB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属于关税配额内进口的货物，按照配额内税率缴纳关税；属于关税配额外进口的货物，按照配额外税率缴纳关税。</w:t>
      </w:r>
    </w:p>
    <w:p w14:paraId="3C4E619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进口配额管理部门应当在每年9月15日至10月14日公布下一年度的关税配额总量。</w:t>
      </w:r>
    </w:p>
    <w:p w14:paraId="7B78BD4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配额申请人应当在每年10月15日至10月30日向进口配额管理部门提出关税配额的申请。</w:t>
      </w:r>
    </w:p>
    <w:p w14:paraId="76E0E0F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关税配额可以按照对所有申请统一办理的方式分配。</w:t>
      </w:r>
    </w:p>
    <w:p w14:paraId="798AA7A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按照对所有申请统一办理的方式分配关税配额的，进口配额管理部门应当在每年12月31日前作出是否发放配额的决定。</w:t>
      </w:r>
    </w:p>
    <w:p w14:paraId="06E68D2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进口经营者凭进口配额管理部门发放的关税配额证明，向海关办理关税配额内货物的报关验放手续。</w:t>
      </w:r>
    </w:p>
    <w:p w14:paraId="2D35187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国务院有关经济管理部门应当及时将年度关税配额总量、分配方案和关税配额证明实际发放的情况向国务院外经贸主管部门备案。</w:t>
      </w:r>
    </w:p>
    <w:p w14:paraId="4AA2806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关税配额持有者未使用完其持有的年度配额的，应当在当年9月15日前将未使用的配额交还进口配额管理部门；未按期交还并且在当年年底前未使用完的，进口配额管理部门可以在下一年度对其扣减相应的配额。</w:t>
      </w:r>
    </w:p>
    <w:p w14:paraId="3B0D90F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进口配额管理部门应当根据本条例的规定制定有关关税配额的具体管理办法，对申请人的资格、受理申请的部门、审查的原则和程序等事项作出明确规定并在实施前予以公布。</w:t>
      </w:r>
    </w:p>
    <w:p w14:paraId="67C3003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受理申请的部门一般为一个部门。</w:t>
      </w:r>
    </w:p>
    <w:p w14:paraId="3D6EC81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进口配额管理部门要求关税配额申请人提交的文件，应当限于为保证实施关税配额管理所必需的文件和资料，不得仅因细微的、非实质性的错讹拒绝接受关税配额申请。</w:t>
      </w:r>
    </w:p>
    <w:p w14:paraId="08E0AAFC">
      <w:pPr>
        <w:pStyle w:val="2"/>
        <w:jc w:val="center"/>
        <w:rPr>
          <w:rFonts w:ascii="方正黑体_GBK" w:eastAsia="方正黑体_GBK"/>
        </w:rPr>
      </w:pPr>
      <w:r>
        <w:rPr>
          <w:rFonts w:hint="eastAsia" w:ascii="方正黑体_GBK" w:hAnsi="Times New Roman" w:eastAsia="方正黑体_GBK" w:cs="Times New Roman"/>
        </w:rPr>
        <w:t>第三章　货物出口管理</w:t>
      </w:r>
    </w:p>
    <w:p w14:paraId="3BD41D8C">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第一节　禁止出口的货物</w:t>
      </w:r>
    </w:p>
    <w:p w14:paraId="3F8ECA1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有对外贸易法第十七条规定情形之一的货物，禁止出口。其他法律、行政法规规定禁止出口的，依照其规定。</w:t>
      </w:r>
    </w:p>
    <w:p w14:paraId="4BC3B77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禁止出口的货物目录由国务院外经贸主管部门会同国务院有关部门制定、调整并公布。</w:t>
      </w:r>
    </w:p>
    <w:p w14:paraId="44AC83A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属于禁止出口的货物，不得出口。</w:t>
      </w:r>
    </w:p>
    <w:p w14:paraId="289115D6">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第二节　限制出口的货物</w:t>
      </w:r>
    </w:p>
    <w:p w14:paraId="5358440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有对外贸易法第十六条第(一)、(二)、(三)、(七)项规定情形之一的货物，限制出口。其他法律、行政法规规定限制出口的，依照其规定。</w:t>
      </w:r>
    </w:p>
    <w:p w14:paraId="42CE3C4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限制出口的货物目录由国务院外经贸主管部门会同国务院有关部门制定、调整并公布。</w:t>
      </w:r>
    </w:p>
    <w:p w14:paraId="6595418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限制出口的货物目录，应当至少在实施前21天公布；在紧急情况下，应当不迟于实施之日公布。</w:t>
      </w:r>
    </w:p>
    <w:p w14:paraId="74D79C9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国家规定有数量限制的限制出口货物，实行配额管理；其他限制出口货物，实行许可证管理。</w:t>
      </w:r>
    </w:p>
    <w:p w14:paraId="26CF8E2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实行配额管理的限制出口货物，由国务院外经贸主管部门和国务院有关经济管理部门(以下统称出口配额管理部门)按照国务院规定的职责划分进行管理。</w:t>
      </w:r>
    </w:p>
    <w:p w14:paraId="2E33B9D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对实行配额管理的限制出口货物，出口配额管理部门应当在每年10月31日前公布下一年度出口配额总量。</w:t>
      </w:r>
    </w:p>
    <w:p w14:paraId="04F8DE5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配额申请人应当在每年11月1日至11月15日向出口配额管理部门提出下一年度出口配额的申请。</w:t>
      </w:r>
    </w:p>
    <w:p w14:paraId="75899A0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出口配额管理部门应当在每年12月15日前将下一年度的配额分配给配额申请人。</w:t>
      </w:r>
    </w:p>
    <w:p w14:paraId="48150D5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配额可以通过直接分配的方式分配，也可以通过招标等方式分配。</w:t>
      </w:r>
    </w:p>
    <w:p w14:paraId="408F2C3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出口配额管理部门应当自收到申请之日起30天内并不晚于当年12月15日作出是否发放配额的决定。</w:t>
      </w:r>
    </w:p>
    <w:p w14:paraId="1CA797A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出口经营者凭出口配额管理部门发放的配额证明，向国务院外经贸主管部门申领出口配额许可证。国务院外经贸主管部门应当自收到申请之日起3个工作日内发放出口配额许可证。</w:t>
      </w:r>
    </w:p>
    <w:p w14:paraId="2AF5676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出口经营者凭国务院外经贸主管部门发放的出口配额许可证，向海关办理报关验放手续。</w:t>
      </w:r>
    </w:p>
    <w:p w14:paraId="3A4DF59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配额持有者未使用完其持有的年度配额的，应当在当年10月31日前将未使用的配额交还出口配额管理部门；未按期交还并且在当年年底前未使用完的，出口配额管理部门可以在下一年度对其扣减相应的配额。</w:t>
      </w:r>
    </w:p>
    <w:p w14:paraId="0826ECE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实行许可证管理的限制出口货物，出口经营者应当向国务院外经贸主管部门或者国务院有关部门(以下统称出口许可证管理部门)提出申请，出口许可证管理部门应当自收到申请之日起30天内决定是否许可。</w:t>
      </w:r>
    </w:p>
    <w:p w14:paraId="0749248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出口经营者凭出口许可证管理部门发放的出口许可证，向海关办理报关验放手续。</w:t>
      </w:r>
    </w:p>
    <w:p w14:paraId="412B703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前款所称出口许可证，包括法律、行政法规规定的各种具有许可出口性质的证明、文件。</w:t>
      </w:r>
    </w:p>
    <w:p w14:paraId="29F8516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出口配额管理部门和出口许可证管理部门应当根据本条例的规定制定具体管理办法，对申请人的资格、受理申请的部门、审查的原则和程序等事项作出明确规定并在实施前予以公布。</w:t>
      </w:r>
    </w:p>
    <w:p w14:paraId="562275C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受理申请的部门一般为一个部门。</w:t>
      </w:r>
    </w:p>
    <w:p w14:paraId="6DEEB7D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出口配额管理部门和出口许可证管理部门要求申请人提交的文件，应当限于为保证实施管理所必需的文件和资料，不得仅因细微的、非实质性的错讹拒绝接受申请。</w:t>
      </w:r>
    </w:p>
    <w:p w14:paraId="05A892FA">
      <w:pPr>
        <w:pStyle w:val="2"/>
        <w:jc w:val="center"/>
        <w:rPr>
          <w:rFonts w:ascii="方正黑体_GBK" w:eastAsia="方正黑体_GBK"/>
        </w:rPr>
      </w:pPr>
      <w:r>
        <w:rPr>
          <w:rFonts w:hint="eastAsia" w:ascii="方正黑体_GBK" w:hAnsi="Times New Roman" w:eastAsia="方正黑体_GBK" w:cs="Times New Roman"/>
        </w:rPr>
        <w:t>第四章　国营贸易和指定经营</w:t>
      </w:r>
    </w:p>
    <w:p w14:paraId="5A8E202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国家可以对部分货物的进出口实行国营贸易管理。</w:t>
      </w:r>
    </w:p>
    <w:p w14:paraId="73E4833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实行国营贸易管理的进出口货物目录由国务院外经贸主管部门会同国务院有关经济管理部门制定、调整并公布。</w:t>
      </w:r>
    </w:p>
    <w:p w14:paraId="3E1A9A9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国务院外经贸主管部门和国务院有关经济管理部门按照国务院规定的职责划分确定国营贸易企业名录并予以公布。</w:t>
      </w:r>
    </w:p>
    <w:p w14:paraId="5406511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实行国营贸易管理的货物，国家允许非国营贸易企业从事部分数量的进出口。</w:t>
      </w:r>
    </w:p>
    <w:p w14:paraId="36D5EFB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国营贸易企业应当每半年向国务院外经贸主管部门提供实行国营贸易管理的货物的购买价格、销售价格等有关信息。</w:t>
      </w:r>
    </w:p>
    <w:p w14:paraId="3BF58FB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国务院外经贸主管部门基于维护进出口经营秩序的需要，可以在一定期限内对部分货物实行指定经营管理。</w:t>
      </w:r>
    </w:p>
    <w:p w14:paraId="3915FCB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实行指定经营管理的进出口货物目录由国务院外经贸主管部门制定、调整并公布。</w:t>
      </w:r>
    </w:p>
    <w:p w14:paraId="4DE7F2F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确定指定经营企业的具体标准和程序，由国务院外经贸主管部门制定并在实施前公布。</w:t>
      </w:r>
    </w:p>
    <w:p w14:paraId="17A4932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指定经营企业名录由国务院外经贸主管部门公布。</w:t>
      </w:r>
    </w:p>
    <w:p w14:paraId="2BDCA66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除本条例第四十七条规定的情形外，未列入国营贸易企业名录和指定经营企业名录的企业或者其他组织，不得从事实行国营贸易管理、指定经营管理的货物的进出口贸易。</w:t>
      </w:r>
    </w:p>
    <w:p w14:paraId="58C9CAD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国营贸易企业和指定经营企业应当根据正常的商业条件从事经营活动，不得以非商业因素选择供应商，不得以非商业因素拒绝其他企业或者组织的委托。</w:t>
      </w:r>
    </w:p>
    <w:p w14:paraId="6EB93EA7">
      <w:pPr>
        <w:pStyle w:val="2"/>
        <w:jc w:val="center"/>
        <w:rPr>
          <w:rFonts w:ascii="方正黑体_GBK" w:eastAsia="方正黑体_GBK"/>
        </w:rPr>
      </w:pPr>
      <w:r>
        <w:rPr>
          <w:rFonts w:hint="eastAsia" w:ascii="方正黑体_GBK" w:hAnsi="Times New Roman" w:eastAsia="方正黑体_GBK" w:cs="Times New Roman"/>
        </w:rPr>
        <w:t>第五章　进出口监测和临时措施</w:t>
      </w:r>
    </w:p>
    <w:p w14:paraId="23D7E95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国务院外经贸主管部门负责对货物进出口情况进行监测、评估，并定期向国务院报告货物进出口情况，提出建议。</w:t>
      </w:r>
    </w:p>
    <w:p w14:paraId="6D54E62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国家为维护国际收支平衡，包括国际收支发生严重失衡或者受到严重失衡威胁时，或者为维持与实施经济发展计划相适应的外汇储备水平，可以对进口货物的价值或者数量采取临时限制措施。</w:t>
      </w:r>
    </w:p>
    <w:p w14:paraId="3DDA880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国家为建立或者加快建立国内特定产业，在采取现有措施无法实现的情况下，可以采取限制或者禁止进口的临时措施。</w:t>
      </w:r>
    </w:p>
    <w:p w14:paraId="397DAE9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国家为执行下列一项或者数项措施，必要时可以对任何形式的农产品水产品采取限制进口的临时措施：</w:t>
      </w:r>
    </w:p>
    <w:p w14:paraId="6DDC16C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(一)对相同产品或者直接竞争产品的国内生产或者销售采取限制措施；</w:t>
      </w:r>
    </w:p>
    <w:p w14:paraId="7375EFB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(二)通过补贴消费的形式，消除国内过剩的相同产品或者直接竞争产品；</w:t>
      </w:r>
    </w:p>
    <w:p w14:paraId="1EBAE1A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(三)对完全或者主要依靠该进口农产品水产品形成的动物产品采取限产措施。</w:t>
      </w:r>
    </w:p>
    <w:p w14:paraId="30DABD3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有下列情形之一的，国务院外经贸主管部门可以对特定货物的出口采取限制或者禁止的临时措施：</w:t>
      </w:r>
    </w:p>
    <w:p w14:paraId="19C440E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(一)发生严重自然灾害等异常情况，需要限制或者禁止出口的；</w:t>
      </w:r>
    </w:p>
    <w:p w14:paraId="0985F00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(二)出口经营秩序严重混乱，需要限制出口的；</w:t>
      </w:r>
    </w:p>
    <w:p w14:paraId="015F8B4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(三)依照对外贸易法第十六条、第十七条的规定，需要限制或者禁止出口的。</w:t>
      </w:r>
    </w:p>
    <w:p w14:paraId="479D7B3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对进出口货物采取限制或者禁止的临时措施的，国务院外经贸主管部门应当在实施前予以公告。</w:t>
      </w:r>
    </w:p>
    <w:p w14:paraId="1E548075">
      <w:pPr>
        <w:pStyle w:val="2"/>
        <w:jc w:val="center"/>
        <w:rPr>
          <w:rFonts w:ascii="方正黑体_GBK" w:eastAsia="方正黑体_GBK"/>
        </w:rPr>
      </w:pPr>
      <w:r>
        <w:rPr>
          <w:rFonts w:hint="eastAsia" w:ascii="方正黑体_GBK" w:hAnsi="Times New Roman" w:eastAsia="方正黑体_GBK" w:cs="Times New Roman"/>
        </w:rPr>
        <w:t>第六章　对外贸易促进</w:t>
      </w:r>
    </w:p>
    <w:p w14:paraId="7A84E0E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国家采取出口信用保险、出口信贷、出口退税、设立外贸发展基金等措施，促进对外贸易发展。</w:t>
      </w:r>
    </w:p>
    <w:p w14:paraId="785AB0D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国家采取有效措施，促进企业的技术创新和技术进步，提高企业的国际竞争能力。</w:t>
      </w:r>
    </w:p>
    <w:p w14:paraId="337BB18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国家通过提供信息咨询服务，帮助企业开拓国际市场。</w:t>
      </w:r>
    </w:p>
    <w:p w14:paraId="0920082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货物进出口经营者可以依法成立和参加进出口商会，实行行业自律和协调。</w:t>
      </w:r>
    </w:p>
    <w:p w14:paraId="37F9AFB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国家鼓励企业积极应对国外歧视性反倾销、反补贴、保障措施及其他限制措施，维护企业的正当贸易权利。</w:t>
      </w:r>
    </w:p>
    <w:p w14:paraId="0A2BE46B">
      <w:pPr>
        <w:pStyle w:val="2"/>
        <w:jc w:val="center"/>
        <w:rPr>
          <w:rFonts w:ascii="方正黑体_GBK" w:eastAsia="方正黑体_GBK"/>
        </w:rPr>
      </w:pPr>
      <w:r>
        <w:rPr>
          <w:rFonts w:hint="eastAsia" w:ascii="方正黑体_GBK" w:hAnsi="Times New Roman" w:eastAsia="方正黑体_GBK" w:cs="Times New Roman"/>
        </w:rPr>
        <w:t>第七章　法律责任</w:t>
      </w:r>
    </w:p>
    <w:p w14:paraId="15E3F4E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进口或者出口属于禁止进出口的货物，或者未经批准、许可擅自进口或者出口属于限制进出口的货物的，依照刑法关于走私罪的规定，依法追究刑事责任；尚不够刑事处罚的，依照海关法的有关规定处罚；国务院外经贸主管部门并可以撤销其对外贸易经营许可。</w:t>
      </w:r>
    </w:p>
    <w:p w14:paraId="60223F9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擅自超出批准、许可的范围进口或者出口属于限制进出口的货物的，依照刑法关于走私罪或者非法经营罪的规定，依法追究刑事责任；尚不够刑事处罚的，依照海关法的有关规定处罚；国务院外经贸主管部门并可以暂停直至撤销其对外贸易经营许可。</w:t>
      </w:r>
    </w:p>
    <w:p w14:paraId="16A0F81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伪造、变造或者买卖货物进出口配额证明、批准文件、许可证或者自动进口许可证明的，依照刑法关于非法经营罪或者伪造、变造、买卖国家机关公文、证件、印章罪的规定，依法追究刑事责任；尚不够刑事处罚的，依照海关法的有关规定处罚；国务院外经贸主管部门并可以撤销其对外贸易经营许可。</w:t>
      </w:r>
    </w:p>
    <w:p w14:paraId="61915F3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进出口经营者以欺骗或者其他不正当手段获取货物进出口配额、批准文件、许可证或者自动进口许可证明的，依法收缴其货物进出口配额、批准文件、许可证或者自动进口许可证明，国务院外经贸主管部门可以暂停直至撤销其对外贸易经营许可。</w:t>
      </w:r>
    </w:p>
    <w:p w14:paraId="1D68916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违反本条例第五十一条规定，擅自从事实行国营贸易管理或者指定经营管理的货物进出口贸易，扰乱市场秩序，情节严重的，依照刑法关于非法经营罪的规定，依法追究刑事责任；尚不够刑事处罚的，由工商行政管理机关依法给予行政处罚；国务院外经贸主管部门并可以暂停直至撤销其对外贸易经营许可。</w:t>
      </w:r>
    </w:p>
    <w:p w14:paraId="5E3F5D9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国营贸易企业或者指定经营企业违反本条例第四十八条、第五十二条规定的，由国务院外经贸主管部门予以警告；情节严重的，可以暂停直至取消其国营贸易企业或者指定经营企业资格。</w:t>
      </w:r>
    </w:p>
    <w:p w14:paraId="0FAFB7E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货物进出口管理工作人员在履行货物进出口管理职责中，滥用职权、玩忽职守或者利用职务上的便利收受、索取他人财物的，依照刑法关于滥用职权罪、玩忽职守罪、受贿罪或者其他罪的规定，依法追究刑事责任；尚不够刑事处罚的，依法给予行政处分。</w:t>
      </w:r>
    </w:p>
    <w:p w14:paraId="7C6C2EC8">
      <w:pPr>
        <w:pStyle w:val="2"/>
        <w:jc w:val="center"/>
        <w:rPr>
          <w:rFonts w:ascii="方正黑体_GBK" w:eastAsia="方正黑体_GBK"/>
        </w:rPr>
      </w:pPr>
      <w:r>
        <w:rPr>
          <w:rFonts w:hint="eastAsia" w:ascii="方正黑体_GBK" w:hAnsi="Times New Roman" w:eastAsia="方正黑体_GBK" w:cs="Times New Roman"/>
        </w:rPr>
        <w:t>第八章　附则</w:t>
      </w:r>
    </w:p>
    <w:p w14:paraId="1CB8A7D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对本条例规定的行政机关发放配额、关税配额、许可证或者自动许可证明的决定不服的，对确定国营贸易企业或者指定经营企业资格的决定不服的，或者对行政处罚的决定不服的，可以依法申请行政复议，也可以依法向人民法院提起诉讼。</w:t>
      </w:r>
    </w:p>
    <w:p w14:paraId="512A7F3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本条例的规定不妨碍依据法律、行政法规对进出口货物采取的关税、检验检疫、安全、环保、知识产权保护等措施。</w:t>
      </w:r>
    </w:p>
    <w:p w14:paraId="3BC5A46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出口核用品、核两用品、监控化学品、军品等出口管制货物的，依照有关行政法规的规定办理。</w:t>
      </w:r>
    </w:p>
    <w:p w14:paraId="2427692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对进口货物需要采取反倾销措施、反补贴措施、保障措施的，依照对外贸易法和有关法律、行政法规的规定执行。</w:t>
      </w:r>
    </w:p>
    <w:p w14:paraId="2A4CB76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法律、行政法规对保税区、出口加工区等特殊经济区的货物进出口管理另有规定的，依照其规定。</w:t>
      </w:r>
    </w:p>
    <w:p w14:paraId="25D086F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国务院外经贸主管部门负责有关货物进出口贸易的双边或者多边磋商、谈判，并负责贸易争端解决的有关事宜。</w:t>
      </w:r>
    </w:p>
    <w:p w14:paraId="6D41B823">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81729">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E19410E">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1FC15A5"/>
    <w:rsid w:val="00057321"/>
    <w:rsid w:val="007D18BB"/>
    <w:rsid w:val="00D50AB2"/>
    <w:rsid w:val="0EB9600B"/>
    <w:rsid w:val="137F5E96"/>
    <w:rsid w:val="140A0E87"/>
    <w:rsid w:val="21FC15A5"/>
    <w:rsid w:val="39191106"/>
    <w:rsid w:val="405456B5"/>
    <w:rsid w:val="4C483EAC"/>
    <w:rsid w:val="576B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1105</Words>
  <Characters>6300</Characters>
  <Lines>52</Lines>
  <Paragraphs>14</Paragraphs>
  <TotalTime>1</TotalTime>
  <ScaleCrop>false</ScaleCrop>
  <LinksUpToDate>false</LinksUpToDate>
  <CharactersWithSpaces>7391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2019-05-22T15:50:00Z</dcterms:created>
  <dc:creator>Administrator</dc:creator>
  <cp:lastModifiedBy>拱酝爻涣和</cp:lastModifiedBy>
  <cp:lastPrinted>2019-05-25T09:18:00Z</cp:lastPrinted>
  <dcterms:modified xsi:type="dcterms:W3CDTF">2025-06-29T10:40:50Z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534DED447E0D4566A3B19AC3D472D676_12</vt:lpwstr>
  </property>
</Properties>
</file>