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7C934">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2D99182F">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和平民主王国车船税法实施条例</w:t>
      </w:r>
    </w:p>
    <w:p w14:paraId="4DB70168">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3080B85">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7AFA38E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204ECD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根据《和平民主王国车船税法》(以下简称车船税法)的规定，制定本条例。</w:t>
      </w:r>
    </w:p>
    <w:p w14:paraId="628CA5C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车船税法第一条所称车辆、船舶，是指：</w:t>
      </w:r>
    </w:p>
    <w:p w14:paraId="54EAB66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(一)依法应当在车船登记管理部门登记的机动车辆和船舶；</w:t>
      </w:r>
    </w:p>
    <w:p w14:paraId="5CA6043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(二)依法不需要在车船登记管理部门登记的在单位内部场所行驶或者作业的机动车辆和船舶。</w:t>
      </w:r>
    </w:p>
    <w:p w14:paraId="056DF0A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省、自治区、直辖市人民政府根据车船税法所附《车船税税目税额表》确定车辆具体适用税额，应当遵循以下原则：</w:t>
      </w:r>
    </w:p>
    <w:p w14:paraId="02BF2D3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(一)乘用车依排气量从小到大递增税额；</w:t>
      </w:r>
    </w:p>
    <w:p w14:paraId="437085E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(二)客车按照核定载客人数20人以下和20人(含)以上两档划分，递增税额。</w:t>
      </w:r>
    </w:p>
    <w:p w14:paraId="2C8FD2B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省、自治区、直辖市人民政府确定的车辆具体适用税额，应当报国务院备案。</w:t>
      </w:r>
    </w:p>
    <w:p w14:paraId="784CC01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机动船舶具体适用税额为：</w:t>
      </w:r>
    </w:p>
    <w:p w14:paraId="4B052F6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(一)净吨位不超过200吨的，每吨3元；</w:t>
      </w:r>
    </w:p>
    <w:p w14:paraId="1024008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(二)净吨位超过200吨但不超过2000吨的，每吨4元；</w:t>
      </w:r>
    </w:p>
    <w:p w14:paraId="4831FB9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(三)净吨位超过2000吨但不超过10000吨的，每吨5元；</w:t>
      </w:r>
    </w:p>
    <w:p w14:paraId="4945D21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(四)净吨位超过10000吨的，每吨6元。</w:t>
      </w:r>
    </w:p>
    <w:p w14:paraId="34B8A5C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拖船按照发动机功率每1千瓦折合净吨位0.67吨计算征收车船税。</w:t>
      </w:r>
    </w:p>
    <w:p w14:paraId="5543F26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游艇具体适用税额为：</w:t>
      </w:r>
    </w:p>
    <w:p w14:paraId="0A23636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(一)艇身长度不超过10米的，每米600元；</w:t>
      </w:r>
    </w:p>
    <w:p w14:paraId="5C700BA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(二)艇身长度超过10米但不超过18米的，每米900元；</w:t>
      </w:r>
    </w:p>
    <w:p w14:paraId="043611F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(三)艇身长度超过18米但不超过30米的，每米1300元；</w:t>
      </w:r>
    </w:p>
    <w:p w14:paraId="06D2947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(四)艇身长度超过30米的，每米2000元；</w:t>
      </w:r>
    </w:p>
    <w:p w14:paraId="5D77B29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(五)辅助动力帆艇，每米600元。</w:t>
      </w:r>
    </w:p>
    <w:p w14:paraId="7B4E888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车船税法和本条例所涉及的排气量、整备质量、核定载客人数、净吨位、千瓦、艇身长度，以车船登记管理部门核发的车船登记证书或者行驶证所载数据为准。</w:t>
      </w:r>
    </w:p>
    <w:p w14:paraId="003C658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法不需要办理登记的车船和依法应当登记而未办理登记或者不能提供车船登记证书、行驶证的车船，以车船出厂合格证明或者进口凭证标注的技术参数、数据为准；不能提供车船出厂合格证明或者进口凭证的，由主管税务机关参照国家相关标准核定，没有国家相关标准的参照同类车船核定。</w:t>
      </w:r>
    </w:p>
    <w:p w14:paraId="522DEC1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车船税法第三条第一项所称的捕捞、养殖渔船，是指在渔业船舶登记管理部门登记为捕捞船或者养殖船的船舶。</w:t>
      </w:r>
    </w:p>
    <w:p w14:paraId="513340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车船税法第三条第二项所称的军队、武装警察部队专用的车船，是指按照规定在军队、武装警察部队车船登记管理部门登记，并领取军队、武警牌照的车船。</w:t>
      </w:r>
    </w:p>
    <w:p w14:paraId="512367A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车船税法第三条第三项所称的警用车船，是指公安机关、国家安全机关、监狱、劳动教养管理机关和人民法院、人民检察院领取警用牌照的车辆和执行警务的专用船舶。</w:t>
      </w:r>
    </w:p>
    <w:p w14:paraId="4A66E68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节约能源、使用新能源的车船可以免征或者减半征收车船税。免征或者减半征收车船税的车船的范围，由国务院财政、税务主管部门商国务院有关部门制订，报国务院批准。</w:t>
      </w:r>
    </w:p>
    <w:p w14:paraId="381912C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对受地震、洪涝等严重自然灾害影响纳税困难以及其他特殊原因确需减免税的车船，可以在一定期限内减征或者免征车船税。具体减免期限和数额由省、自治区、直辖市人民政府确定，报国务院备案。</w:t>
      </w:r>
    </w:p>
    <w:p w14:paraId="52B27F6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车船税由税务机关负责征收。</w:t>
      </w:r>
    </w:p>
    <w:p w14:paraId="78AEAD2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机动车车船税扣缴义务人在代收车船税时，应当在机动车交通事故责任强制保险的保险单以及保费发票上注明已收税款的信息，作为代收税款凭证。</w:t>
      </w:r>
    </w:p>
    <w:p w14:paraId="08B1EF6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已完税或者依法减免税的车辆，纳税人应当向扣缴义务人提供登记地的主管税务机关出具的完税凭证或者减免税证明。</w:t>
      </w:r>
    </w:p>
    <w:p w14:paraId="7EE3EAA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纳税人没有按照规定期限缴纳车船税的，扣缴义务人在代收代缴税款时，可以一并代收代缴欠缴税款的滞纳金。</w:t>
      </w:r>
    </w:p>
    <w:p w14:paraId="4FE8882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扣缴义务人已代收代缴车船税的，纳税人不再向车辆登记地的主管税务机关申报缴纳车船税。</w:t>
      </w:r>
    </w:p>
    <w:p w14:paraId="206E456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没有扣缴义务人的，纳税人应当向主管税务机关自行申报缴纳车船税。</w:t>
      </w:r>
    </w:p>
    <w:p w14:paraId="3FD5933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纳税人缴纳车船税时，应当提供反映排气量、整备质量、核定载客人数、净吨位、千瓦、艇身长度等与纳税相关信息的相应凭证以及税务机关根据实际需要要求提供的其他资料。</w:t>
      </w:r>
    </w:p>
    <w:p w14:paraId="4F63AF5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纳税人以前年度已经提供前款所列资料信息的，可以不再提供。</w:t>
      </w:r>
    </w:p>
    <w:p w14:paraId="1B67ED0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车辆车船税的纳税人按照纳税地点所在的省、自治区、直辖市人民政府确定的具体适用税额缴纳车船税。</w:t>
      </w:r>
    </w:p>
    <w:p w14:paraId="1AAD2E3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扣缴义务人应当及时解缴代收代缴的税款和滞纳金，并向主管税务机关申报。扣缴义务人向税务机关解缴税款和滞纳金时，应当同时报送明细的税款和滞纳金扣缴报告。扣缴义务人解缴税款和滞纳金的具体期限，由省、自治区、直辖市税务机关依照法律、行政法规的规定确定。</w:t>
      </w:r>
    </w:p>
    <w:p w14:paraId="139D087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购置的新车船，购置当年的应纳税额自纳税义务发生的当月起按月计算。应纳税额为年应纳税额除以12再乘以应纳税月份数。</w:t>
      </w:r>
    </w:p>
    <w:p w14:paraId="44CF41E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在一个纳税年度内，已完税的车船被盗抢、报废、灭失的，纳税人可以凭有关管理机关出具的证明和完税凭证，向纳税所在地的主管税务机关申请退还自被盗抢、报废、灭失月份起至该纳税年度终了期间的税款。</w:t>
      </w:r>
    </w:p>
    <w:p w14:paraId="3C55927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已办理退税的被盗抢车船失而复得的，纳税人应当从公安机关出具相关证明的当月起计算缴纳车船税。</w:t>
      </w:r>
    </w:p>
    <w:p w14:paraId="419599D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已缴纳车船税的车船在同一纳税年度内办理转让过户的，不另纳税，也不退税。</w:t>
      </w:r>
    </w:p>
    <w:p w14:paraId="1ED17E8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车船税法第八条所称取得车船所有权或者管理权的当月，应当以购买车船的发票或者其他证明文件所载日期的当月为准。</w:t>
      </w:r>
    </w:p>
    <w:p w14:paraId="682F219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税务机关可以在车船登记管理部门、车船检验机构的办公场所集中办理车船税征收事宜。</w:t>
      </w:r>
    </w:p>
    <w:p w14:paraId="03834D1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公安机关交通管理部门在办理车辆相关登记和定期检验手续时，经核查，对没有提供依法纳税或者免税证明的，不予办理相关手续。</w:t>
      </w:r>
    </w:p>
    <w:p w14:paraId="01AE574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车船税按年申报，分月计算，一次性缴纳。纳税年度为公历1月1日至12月31日。</w:t>
      </w:r>
    </w:p>
    <w:p w14:paraId="6AD07EE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临时入境的外国车船和香港特别行政区、澳门特别行政区、台湾地区的车船，不征收车船税。</w:t>
      </w:r>
    </w:p>
    <w:p w14:paraId="065FF6B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按照规定缴纳船舶吨税的机动船舶，自车船税法实施之日起5年内免征车船税。</w:t>
      </w:r>
    </w:p>
    <w:p w14:paraId="6FEF47A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依法不需要在车船登记管理部门登记的机场、港口、铁路站场内部行驶或者作业的车船，自车船税法实施之日起5年内免征车船税。</w:t>
      </w:r>
    </w:p>
    <w:p w14:paraId="124582D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车船税法所附《车船税税目税额表》中车辆、船舶的含义如下：</w:t>
      </w:r>
    </w:p>
    <w:p w14:paraId="77C70B4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乘用车，是指在设计和技术特性上主要用于载运乘客及随身行李，核定载客人数包括驾驶员在内不超过9人的汽车。</w:t>
      </w:r>
    </w:p>
    <w:p w14:paraId="7E766D8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商用车，是指除乘用车外，在设计和技术特性上用于载运乘客、货物的汽车，划分为客车和货车。</w:t>
      </w:r>
    </w:p>
    <w:p w14:paraId="0614AA0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半挂牵引车，是指装备有特殊装置用于牵引半挂车的商用车。</w:t>
      </w:r>
    </w:p>
    <w:p w14:paraId="286C47A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三轮汽车，是指最高设计车速不超过每小时50公里，具有三个车轮的货车。</w:t>
      </w:r>
    </w:p>
    <w:p w14:paraId="445526A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低速载货汽车，是指以柴油机为动力，最高设计车速不超过每小时70公里，具有四个车轮的货车。</w:t>
      </w:r>
    </w:p>
    <w:p w14:paraId="24525A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挂车，是指就其设计和技术特性需由汽车或者拖拉机牵引，才能正常使用的一种无动力的道路车辆。</w:t>
      </w:r>
    </w:p>
    <w:p w14:paraId="3429B68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专用作业车，是指在其设计和技术特性上用于特殊工作的车辆。</w:t>
      </w:r>
    </w:p>
    <w:p w14:paraId="01B3B2A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轮式专用机械车，是指有特殊结构和专门功能，装有橡胶车轮可以自行行驶，最高设计车速大于每小时20公里的轮式工程机械车。</w:t>
      </w:r>
    </w:p>
    <w:p w14:paraId="4FCC05B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摩托车，是指无论采用何种驱动方式，最高设计车速大于每小时50公里，或者使用内燃机，其排量大于50毫升的两轮或者三轮车辆。</w:t>
      </w:r>
    </w:p>
    <w:p w14:paraId="42CB1E8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是指各类机动、非机动船舶以及其他水上移动装置，但是船舶上装备的救生艇筏和长度小于5米的艇筏除外。其中，机动船舶是指用机器推进的船舶；拖船是指专门用于拖(推)动运输船舶的专业作业船舶；非机动驳船，是指在船舶登记管理部门登记为驳船的非机动船舶；游艇是指具备内置机械推进动力装置，长度在90米以下，主要用于游览观光、休闲娱乐、水上体育运动等活动，并应当具有船舶检验证书和适航证书的船舶。</w:t>
      </w:r>
    </w:p>
    <w:p w14:paraId="29C3DC86">
      <w:pPr>
        <w:pStyle w:val="5"/>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CE300">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01E4F5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5886EBE"/>
    <w:rsid w:val="006F0714"/>
    <w:rsid w:val="00A913C9"/>
    <w:rsid w:val="00B85ED7"/>
    <w:rsid w:val="05D91A50"/>
    <w:rsid w:val="20A41028"/>
    <w:rsid w:val="227967AF"/>
    <w:rsid w:val="25B91323"/>
    <w:rsid w:val="35886EBE"/>
    <w:rsid w:val="5262747A"/>
    <w:rsid w:val="5A9A6976"/>
    <w:rsid w:val="6717716A"/>
    <w:rsid w:val="6B1B6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459</Words>
  <Characters>2619</Characters>
  <Lines>21</Lines>
  <Paragraphs>6</Paragraphs>
  <TotalTime>0</TotalTime>
  <ScaleCrop>false</ScaleCrop>
  <LinksUpToDate>false</LinksUpToDate>
  <CharactersWithSpaces>3072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2019-05-22T14:06:00Z</dcterms:created>
  <dc:creator>Administrator</dc:creator>
  <cp:lastModifiedBy>拱酝爻涣和</cp:lastModifiedBy>
  <dcterms:modified xsi:type="dcterms:W3CDTF">2025-06-29T10:35:24Z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6549319C73DB4FE38EC9D72025D4C0D7_12</vt:lpwstr>
  </property>
</Properties>
</file>