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AD86B">
      <w:pPr>
        <w:pStyle w:val="3"/>
        <w:jc w:val="center"/>
        <w:rPr>
          <w:rFonts w:ascii="Times New Roman" w:hAnsi="Times New Roman" w:cs="Times New Roman"/>
          <w:sz w:val="44"/>
          <w:szCs w:val="44"/>
        </w:rPr>
      </w:pPr>
      <w:bookmarkStart w:id="0" w:name="_GoBack"/>
      <w:bookmarkEnd w:id="0"/>
    </w:p>
    <w:p w14:paraId="75B67AC9">
      <w:pPr>
        <w:pStyle w:val="3"/>
        <w:jc w:val="center"/>
        <w:rPr>
          <w:rFonts w:ascii="Times New Roman" w:hAnsi="Times New Roman" w:cs="Times New Roman"/>
          <w:sz w:val="44"/>
          <w:szCs w:val="44"/>
        </w:rPr>
      </w:pPr>
      <w:r>
        <w:rPr>
          <w:rFonts w:ascii="Times New Roman" w:hAnsi="Times New Roman" w:cs="Times New Roman"/>
          <w:sz w:val="44"/>
          <w:szCs w:val="44"/>
        </w:rPr>
        <w:t>国有资产评估管理办法</w:t>
      </w:r>
    </w:p>
    <w:p w14:paraId="0FD750D3">
      <w:pPr>
        <w:pStyle w:val="3"/>
        <w:ind w:firstLine="640" w:firstLineChars="200"/>
        <w:rPr>
          <w:rFonts w:ascii="Times New Roman" w:hAnsi="Times New Roman" w:eastAsia="楷体_GB2312" w:cs="Times New Roman"/>
          <w:sz w:val="32"/>
          <w:szCs w:val="32"/>
        </w:rPr>
      </w:pPr>
    </w:p>
    <w:p w14:paraId="7091F612">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49FB6C5">
      <w:pPr>
        <w:pStyle w:val="2"/>
        <w:rPr>
          <w:rFonts w:ascii="方正黑体_GBK"/>
        </w:rPr>
      </w:pPr>
      <w:r>
        <w:rPr>
          <w:rFonts w:hint="eastAsia" w:ascii="方正黑体_GBK" w:hAnsi="Times New Roman" w:cs="Times New Roman"/>
        </w:rPr>
        <w:t>第一章　总则</w:t>
      </w:r>
    </w:p>
    <w:p w14:paraId="74F7330F">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为了正确体现国有资产的价值量，保护国有资产所有者和经营者、使用者的合法权益，制定本办法。</w:t>
      </w:r>
    </w:p>
    <w:p w14:paraId="3E027D0B">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国有资产评估，除法律、法规另有规定外，适用本办法。</w:t>
      </w:r>
    </w:p>
    <w:p w14:paraId="4DA6B79B">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国有资产占有单位(以下简称占有单位)有下列情形之一的，应当进行资产评估：</w:t>
      </w:r>
    </w:p>
    <w:p w14:paraId="04CADEB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(一)资产拍卖、转让；</w:t>
      </w:r>
    </w:p>
    <w:p w14:paraId="73EAA188">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(二)企业兼并、出售、联营、股份经营；</w:t>
      </w:r>
    </w:p>
    <w:p w14:paraId="6518761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(三)与外国公司、企业和其他经济组织或者个人开办外商投资企业；</w:t>
      </w:r>
    </w:p>
    <w:p w14:paraId="26BD692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(四)企业清算；</w:t>
      </w:r>
    </w:p>
    <w:p w14:paraId="7F1EFBC8">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(五)依照国家有关规定需要进行资产评估的其他情形。</w:t>
      </w:r>
    </w:p>
    <w:p w14:paraId="4537A4D8">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占有单位有下列情形之一，当事人认为需要的，可以进行资产评估：</w:t>
      </w:r>
    </w:p>
    <w:p w14:paraId="1C7FEB5F">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(一)资产抵押及其他担保；</w:t>
      </w:r>
    </w:p>
    <w:p w14:paraId="0AB0C31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(二)企业租赁；</w:t>
      </w:r>
    </w:p>
    <w:p w14:paraId="39739F18">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(三)需要进行资产评估的其他情形。</w:t>
      </w:r>
    </w:p>
    <w:p w14:paraId="6BFB29A1">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全国或者特定行业的国有资产评估，由国务院决定。</w:t>
      </w:r>
    </w:p>
    <w:p w14:paraId="0D05BEFD">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国有资产评估范围包括：固定资产、流动资产、无形资产和其他资产。</w:t>
      </w:r>
    </w:p>
    <w:p w14:paraId="18F03916">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国有资产评估应当遵循真实性、科学性、可行性原则，依照国家规定的标准、程序和方法进行评定和估算。</w:t>
      </w:r>
    </w:p>
    <w:p w14:paraId="5389DF5E">
      <w:pPr>
        <w:pStyle w:val="2"/>
        <w:rPr>
          <w:rFonts w:ascii="方正黑体_GBK"/>
        </w:rPr>
      </w:pPr>
      <w:r>
        <w:rPr>
          <w:rFonts w:hint="eastAsia" w:ascii="方正黑体_GBK" w:hAnsi="Times New Roman" w:cs="Times New Roman"/>
        </w:rPr>
        <w:t>第二章　组织管理</w:t>
      </w:r>
    </w:p>
    <w:p w14:paraId="6CFB1657">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国有资产评估工作，按照国有资产管理权限，由国有资产管理行政主管部门负责管理和监督。</w:t>
      </w:r>
    </w:p>
    <w:p w14:paraId="0A616810">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国有资产评估组织工作，按照占有单位的隶属关系，由行业主管部门负责。</w:t>
      </w:r>
    </w:p>
    <w:p w14:paraId="489DD91B">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国有资产管理行政主管部门和行业主管部门不直接从事国有资产评估业务。</w:t>
      </w:r>
    </w:p>
    <w:p w14:paraId="352905E7">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持有国务院或者省、自治区、直辖市人民政府国有资产管理行政主管部门颁发的国有资产评估资格证书的资产评估公司、会计师事务所、审计事务所、财务咨询公司，经国务院或者省、自治区、直辖市人民政府国有资产管理行政主管部门认可的临时评估机构(以下统称资产评估机构)，可以接受占有单位的委托，从事国有资产评估业务。</w:t>
      </w:r>
    </w:p>
    <w:p w14:paraId="32B5D39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前款所列资产评估机构的管理办法，由国务院国有资产管理行政主管部门制定。</w:t>
      </w:r>
    </w:p>
    <w:p w14:paraId="27F80F5E">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占有单位委托资产评估机构进行资产评估时，应当如实提供有关情况和资料。资产评估机构应当对占有单位提供的有关情况和资料保守秘密。</w:t>
      </w:r>
    </w:p>
    <w:p w14:paraId="6419F970">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资产评估机构进行资产评估，实行有偿服务。资产评估收费办法，由国务院国有资产管理行政主管部门会同财政部门、物价主管部门制定。</w:t>
      </w:r>
    </w:p>
    <w:p w14:paraId="14AB29D4">
      <w:pPr>
        <w:pStyle w:val="2"/>
        <w:rPr>
          <w:rFonts w:ascii="方正黑体_GBK"/>
        </w:rPr>
      </w:pPr>
      <w:r>
        <w:rPr>
          <w:rFonts w:hint="eastAsia" w:ascii="方正黑体_GBK" w:hAnsi="Times New Roman" w:cs="Times New Roman"/>
        </w:rPr>
        <w:t>第三章　评估程序</w:t>
      </w:r>
    </w:p>
    <w:p w14:paraId="604D5D31">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国有资产评估按照下列程序进行：</w:t>
      </w:r>
    </w:p>
    <w:p w14:paraId="1C3F9CC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(一)申请立项；</w:t>
      </w:r>
    </w:p>
    <w:p w14:paraId="65BC987F">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(二)资产清查；</w:t>
      </w:r>
    </w:p>
    <w:p w14:paraId="6DFD7F5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(三)评定估算；</w:t>
      </w:r>
    </w:p>
    <w:p w14:paraId="0A2F629B">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(四)验证确认。</w:t>
      </w:r>
    </w:p>
    <w:p w14:paraId="288F8E91">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依照本办法第三条、第四条规定进行资产评估的占有单位，经其主管部门审查同意后，应当向同级国有资产管理行政主管部门提交资产评估立项申请书，并附财产目录和有关会计报表等资料。</w:t>
      </w:r>
    </w:p>
    <w:p w14:paraId="6C3CE72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经国有资产管理行政主管部门授权或者委托，占有单位的主管部门可以审批资产评估立项申请。</w:t>
      </w:r>
    </w:p>
    <w:p w14:paraId="055B85B9">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国有资产管理行政主管部门应当自收到资产评估立项申请书之日起十日内进行审核，并作出是否准予资产评估立项的决定，通知申请单位及其主管部门。</w:t>
      </w:r>
    </w:p>
    <w:p w14:paraId="30E6B1B8">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国务院决定对全国或者特定行业进行国有资产评估的，视为已经准予资产评估立项。</w:t>
      </w:r>
    </w:p>
    <w:p w14:paraId="564518D4">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申请单位收到准予资产评估立项通知书后，可以委托资产评估机构评估资产。</w:t>
      </w:r>
    </w:p>
    <w:p w14:paraId="4874E3FE">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受占有单位委托的资产评估机构应当在对委托单位的资产、债权、债务进行全面清查的基础上，核实资产账面与实际是否相符，经营成果是否真实，据以作出鉴定。</w:t>
      </w:r>
    </w:p>
    <w:p w14:paraId="43298D25">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受占有单位委托的资产评估机构应当根据本办法的规定，对委托单位被评估资产的价值进行评定和估算，并向委托单位提出资产评估结果报告书。</w:t>
      </w:r>
    </w:p>
    <w:p w14:paraId="389F40B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委托单位收到资产评估机构的资产评估结果报告书后，应当报其主管部门审查；主管部门审查同意后，报同级国有资产管理行政主管部门确认资产评估结果。</w:t>
      </w:r>
    </w:p>
    <w:p w14:paraId="2C8713B9">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经国有资产管理行政主管部门授权或者委托，占有单位的主管部门可以确认资产评估结果。</w:t>
      </w:r>
    </w:p>
    <w:p w14:paraId="102F2CFD">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国有资产管理行政主管部门应当自收到占有单位报送的资产评估结果报告书之日起四十五日内组织审核、验证、协商，确认资产评估结果，并下达确认通知书。</w:t>
      </w:r>
    </w:p>
    <w:p w14:paraId="0849F661">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占有单位对确认通知书有异议的，可以自收到通知书之日起十五日内向上一级国有资产管理行政主管部门申请复核。上一级国有资产管理行政主管部门应当自收到复核申请之日起三十日内作出裁定，并下达裁定通知书。</w:t>
      </w:r>
    </w:p>
    <w:p w14:paraId="1DB27466">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占有单位收到确认通知书或者裁定通知书后，应当根据国家有关财务、会计制度进行账务处理。</w:t>
      </w:r>
    </w:p>
    <w:p w14:paraId="53BF3AE6">
      <w:pPr>
        <w:pStyle w:val="2"/>
        <w:rPr>
          <w:rFonts w:ascii="方正黑体_GBK"/>
        </w:rPr>
      </w:pPr>
      <w:r>
        <w:rPr>
          <w:rFonts w:hint="eastAsia" w:ascii="方正黑体_GBK" w:hAnsi="Times New Roman" w:cs="Times New Roman"/>
        </w:rPr>
        <w:t>第四章　评估方法</w:t>
      </w:r>
    </w:p>
    <w:p w14:paraId="4B152019">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国有资产重估价值，根据资产原值、净值、新旧程度、重置成本、获利能力等因素和本办法规定的资产评估方法评定。</w:t>
      </w:r>
    </w:p>
    <w:p w14:paraId="50905EF7">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国有资产评估方法包括：</w:t>
      </w:r>
    </w:p>
    <w:p w14:paraId="04B2CC8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(一)收益现值法；</w:t>
      </w:r>
    </w:p>
    <w:p w14:paraId="5EB6B8EF">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(二)重置成本法；</w:t>
      </w:r>
    </w:p>
    <w:p w14:paraId="6E85428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(三)现行市价法；</w:t>
      </w:r>
    </w:p>
    <w:p w14:paraId="539F6C9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(四)清算价格法；</w:t>
      </w:r>
    </w:p>
    <w:p w14:paraId="04521AD0">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(五)国务院国有资产管理行政主管部门规定的其他评估方法。</w:t>
      </w:r>
    </w:p>
    <w:p w14:paraId="4F9D6DED">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用收益现值法进行资产评估的，应当根据被评估资产合理的预期获利能力和适当的折现率，计算出资产的现值，并以此评定重估价值。</w:t>
      </w:r>
    </w:p>
    <w:p w14:paraId="425A8E57">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用重置成本法进行资产评估的，应当根据该项资产在全新情况下的重置成本，减去按重置成本计算的已使用年限的累积折旧额，考虑资产功能变化、成新率等因素，评定重估价值；或者根据资产的使用期限，考虑资产功能变化等因素重新确定成新率，评定重估价值。</w:t>
      </w:r>
    </w:p>
    <w:p w14:paraId="75C3DEC5">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用现行市价法进行资产评估的，应当参照相同或者类似资产的市场价格，评定重估价值。</w:t>
      </w:r>
    </w:p>
    <w:p w14:paraId="7B4EEA84">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用清算价格法进行资产评估的，应当根据企业清算时其资产可变现的价值，评定重估价值。</w:t>
      </w:r>
    </w:p>
    <w:p w14:paraId="75F70A27">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对流动资产中的原材料、在制品、协作件、库存商品、低值易耗品等进行评估时，应当根据该项资产的现行市场价格、计划价格，考虑购置费用、产品完工程度、损耗等因素，评定重估价值。</w:t>
      </w:r>
    </w:p>
    <w:p w14:paraId="227B5CB1">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对有价证券的评估，参照市场价格评定重估价值；没有市场价格的，考虑票面价值、预期收益等因素，评定重估价值。</w:t>
      </w:r>
    </w:p>
    <w:p w14:paraId="0B60930A">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对占有单位的无形资产，区别下列情况评定重估价值：</w:t>
      </w:r>
    </w:p>
    <w:p w14:paraId="696B61A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(一)外购的无形资产，根据购入成本及该项资产具有的获利能力；</w:t>
      </w:r>
    </w:p>
    <w:p w14:paraId="412F57B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(二)自创或者自身拥有的无形资产，根据其形成时所需实际成本及该项资产具有的获利能力；</w:t>
      </w:r>
    </w:p>
    <w:p w14:paraId="117152C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(三)自创或者自身拥有的未单独计算成本的无形资产，根据该项资产具有的获利能力。</w:t>
      </w:r>
    </w:p>
    <w:p w14:paraId="510BDAED">
      <w:pPr>
        <w:pStyle w:val="2"/>
        <w:rPr>
          <w:rFonts w:ascii="方正黑体_GBK"/>
        </w:rPr>
      </w:pPr>
      <w:r>
        <w:rPr>
          <w:rFonts w:hint="eastAsia" w:ascii="方正黑体_GBK" w:hAnsi="Times New Roman" w:cs="Times New Roman"/>
        </w:rPr>
        <w:t>第五章　法律责任</w:t>
      </w:r>
    </w:p>
    <w:p w14:paraId="57C16E07">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占有单位违反本办法的规定，提供虚假情况和资料，或者与资产评估机构串通作弊，致使资产评估结果失实的，国有资产管理行政主管部门可以宣布资产评估结果无效，并可以根据情节轻重，单处或者并处下列处罚：</w:t>
      </w:r>
    </w:p>
    <w:p w14:paraId="5571463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(一)通报批评；</w:t>
      </w:r>
    </w:p>
    <w:p w14:paraId="44414B08">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(二)限期改正，并可以处以相当于评估费用以下的罚款；</w:t>
      </w:r>
    </w:p>
    <w:p w14:paraId="7AF7702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(三)提请有关部门对单位主管人员和直接责任人员给予行政处分，并可以处以相当于本人三个月基本工资以下的罚款。</w:t>
      </w:r>
    </w:p>
    <w:p w14:paraId="51AE07E0">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资产评估机构作弊或者玩忽职守，致使资产评估结果失实的，国有资产管理行政主管部门可以宣布资产评估结果无效，并可以根据情节轻重，对该资产评估机构给予下列处罚：</w:t>
      </w:r>
    </w:p>
    <w:p w14:paraId="6E98EB80">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(一)警告；</w:t>
      </w:r>
    </w:p>
    <w:p w14:paraId="747C9E79">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(二)停业整顿；</w:t>
      </w:r>
    </w:p>
    <w:p w14:paraId="1768DA1B">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(三)吊销国有资产评估资格证书。</w:t>
      </w:r>
    </w:p>
    <w:p w14:paraId="316A33EF">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被处罚的单位和个人对依照本办法第三十一条、第三十二条规定作出的处罚决定不服的，可以在收到处罚通知之日起十五日内，向上一级国有资产管理行政主管部门申请复议。上一级国有资产管理行政主管部门应当自收到复议申请之日起六十日内作出复议决定。申请人对复议决定不服的，可以自收到复议通知之日起十五日内，向人民法院提起诉讼。</w:t>
      </w:r>
    </w:p>
    <w:p w14:paraId="315410C7">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国有资产管理行政主管部门或者行业主管部门工作人员违反本办法，利用职权谋取私利，或者玩忽职守，造成国有资产损失的，国有资产管理行政主管部门或者行业主管部门可以按照干部管理权限，给予行政处分，并可以处以相当于本人三个月基本工资以下的罚款。</w:t>
      </w:r>
    </w:p>
    <w:p w14:paraId="759835D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违反本办法，利用职权谋取私利的，由有查处权的部门依法追缴其非法所得。</w:t>
      </w:r>
    </w:p>
    <w:p w14:paraId="72F3CAD7">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违反本办法，情节严重，构成犯罪的，由司法机关依法追究刑事责任。</w:t>
      </w:r>
    </w:p>
    <w:p w14:paraId="58A7AE53">
      <w:pPr>
        <w:pStyle w:val="2"/>
        <w:rPr>
          <w:rFonts w:ascii="方正黑体_GBK"/>
        </w:rPr>
      </w:pPr>
      <w:r>
        <w:rPr>
          <w:rFonts w:hint="eastAsia" w:ascii="方正黑体_GBK" w:hAnsi="Times New Roman" w:cs="Times New Roman"/>
        </w:rPr>
        <w:t>第六章　附则</w:t>
      </w:r>
    </w:p>
    <w:p w14:paraId="1639BC2D">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境外国有资产的评估，不适用本办法。</w:t>
      </w:r>
    </w:p>
    <w:p w14:paraId="1539C3F1">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有关国有自然资源有偿使用、开采的评估办法，由国务院另行规定。</w:t>
      </w:r>
    </w:p>
    <w:p w14:paraId="191ABDF1">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本办法由国务院国有资产管理行政主管部门负责解释。本办法的施行细则由国务院国有资产管理行政主管部门制定。</w:t>
      </w:r>
    </w:p>
    <w:p w14:paraId="5D60B7E1">
      <w:pPr>
        <w:ind w:firstLine="640" w:firstLineChars="200"/>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119CA">
    <w:pPr>
      <w:pStyle w:val="4"/>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A484DE3">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E5B5393"/>
    <w:rsid w:val="00070F45"/>
    <w:rsid w:val="000E5180"/>
    <w:rsid w:val="00113B28"/>
    <w:rsid w:val="00510086"/>
    <w:rsid w:val="008A663A"/>
    <w:rsid w:val="00AB14A3"/>
    <w:rsid w:val="00D652E2"/>
    <w:rsid w:val="00D96D62"/>
    <w:rsid w:val="00EF3C28"/>
    <w:rsid w:val="00F211B0"/>
    <w:rsid w:val="00F46D20"/>
    <w:rsid w:val="00F97BD1"/>
    <w:rsid w:val="0740553E"/>
    <w:rsid w:val="14D8070A"/>
    <w:rsid w:val="2E5B5393"/>
    <w:rsid w:val="3F376B9B"/>
    <w:rsid w:val="54473EEC"/>
    <w:rsid w:val="5AD40624"/>
    <w:rsid w:val="6C2B2F9C"/>
    <w:rsid w:val="71C5473F"/>
    <w:rsid w:val="79B95030"/>
    <w:rsid w:val="7EF873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FollowedHyperlink"/>
    <w:basedOn w:val="7"/>
    <w:semiHidden/>
    <w:unhideWhenUsed/>
    <w:uiPriority w:val="0"/>
    <w:rPr>
      <w:color w:val="000000"/>
      <w:u w:val="none"/>
    </w:rPr>
  </w:style>
  <w:style w:type="character" w:styleId="9">
    <w:name w:val="Hyperlink"/>
    <w:basedOn w:val="7"/>
    <w:semiHidden/>
    <w:unhideWhenUsed/>
    <w:uiPriority w:val="0"/>
    <w:rPr>
      <w:color w:val="000000"/>
      <w:u w:val="none"/>
    </w:rPr>
  </w:style>
  <w:style w:type="character" w:styleId="10">
    <w:name w:val="HTML Code"/>
    <w:basedOn w:val="7"/>
    <w:semiHidden/>
    <w:unhideWhenUsed/>
    <w:uiPriority w:val="0"/>
    <w:rPr>
      <w:rFonts w:ascii="Courier New" w:hAnsi="Courier New"/>
      <w:sz w:val="20"/>
    </w:rPr>
  </w:style>
  <w:style w:type="character" w:customStyle="1" w:styleId="11">
    <w:name w:val="m01"/>
    <w:basedOn w:val="7"/>
    <w:uiPriority w:val="0"/>
  </w:style>
  <w:style w:type="character" w:customStyle="1" w:styleId="12">
    <w:name w:val="m011"/>
    <w:basedOn w:val="7"/>
    <w:uiPriority w:val="0"/>
  </w:style>
  <w:style w:type="character" w:customStyle="1" w:styleId="13">
    <w:name w:val="hover19"/>
    <w:basedOn w:val="7"/>
    <w:uiPriority w:val="0"/>
    <w:rPr>
      <w:color w:val="015293"/>
    </w:rPr>
  </w:style>
  <w:style w:type="character" w:customStyle="1" w:styleId="14">
    <w:name w:val="name"/>
    <w:basedOn w:val="7"/>
    <w:uiPriority w:val="0"/>
    <w:rPr>
      <w:color w:val="6A6A6A"/>
      <w:u w:val="single"/>
    </w:rPr>
  </w:style>
  <w:style w:type="character" w:customStyle="1" w:styleId="15">
    <w:name w:val="dates"/>
    <w:basedOn w:val="7"/>
    <w:uiPriority w:val="0"/>
  </w:style>
  <w:style w:type="character" w:customStyle="1" w:styleId="16">
    <w:name w:val="bg02"/>
    <w:basedOn w:val="7"/>
    <w:uiPriority w:val="0"/>
  </w:style>
  <w:style w:type="character" w:customStyle="1" w:styleId="17">
    <w:name w:val="tabg"/>
    <w:basedOn w:val="7"/>
    <w:uiPriority w:val="0"/>
    <w:rPr>
      <w:color w:val="FFFFFF"/>
      <w:sz w:val="27"/>
      <w:szCs w:val="27"/>
    </w:rPr>
  </w:style>
  <w:style w:type="character" w:customStyle="1" w:styleId="18">
    <w:name w:val="bg01"/>
    <w:basedOn w:val="7"/>
    <w:uiPriority w:val="0"/>
  </w:style>
  <w:style w:type="character" w:customStyle="1" w:styleId="19">
    <w:name w:val="more4"/>
    <w:basedOn w:val="7"/>
    <w:uiPriority w:val="0"/>
    <w:rPr>
      <w:color w:val="666666"/>
      <w:sz w:val="18"/>
      <w:szCs w:val="18"/>
    </w:rPr>
  </w:style>
  <w:style w:type="character" w:customStyle="1" w:styleId="20">
    <w:name w:val="font2"/>
    <w:basedOn w:val="7"/>
    <w:uiPriority w:val="0"/>
  </w:style>
  <w:style w:type="character" w:customStyle="1" w:styleId="21">
    <w:name w:val="font3"/>
    <w:basedOn w:val="7"/>
    <w:uiPriority w:val="0"/>
  </w:style>
  <w:style w:type="character" w:customStyle="1" w:styleId="22">
    <w:name w:val="laypage_curr"/>
    <w:basedOn w:val="7"/>
    <w:uiPriority w:val="0"/>
    <w:rPr>
      <w:color w:val="FFFDF4"/>
      <w:shd w:val="clear" w:color="auto" w:fill="0B67A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498</Words>
  <Characters>2842</Characters>
  <Lines>23</Lines>
  <Paragraphs>6</Paragraphs>
  <TotalTime>0</TotalTime>
  <ScaleCrop>false</ScaleCrop>
  <LinksUpToDate>false</LinksUpToDate>
  <CharactersWithSpaces>3334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2019-05-22T14:01:00Z</dcterms:created>
  <dc:creator>Administrator</dc:creator>
  <cp:lastModifiedBy>拱酝爻涣和</cp:lastModifiedBy>
  <dcterms:modified xsi:type="dcterms:W3CDTF">2025-06-29T10:34:24Z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74B673DC47F94837B53571121AB439A6_12</vt:lpwstr>
  </property>
</Properties>
</file>