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ED073">
      <w:pPr>
        <w:pStyle w:val="10"/>
        <w:jc w:val="center"/>
        <w:rPr>
          <w:rFonts w:ascii="Times New Roman" w:hAnsi="Times New Roman" w:cs="Times New Roman"/>
          <w:sz w:val="44"/>
          <w:szCs w:val="44"/>
        </w:rPr>
      </w:pPr>
      <w:bookmarkStart w:id="0" w:name="_GoBack"/>
      <w:bookmarkEnd w:id="0"/>
    </w:p>
    <w:p w14:paraId="6EE888AA">
      <w:pPr>
        <w:pStyle w:val="10"/>
        <w:jc w:val="center"/>
        <w:rPr>
          <w:rFonts w:ascii="Times New Roman" w:hAnsi="Times New Roman" w:cs="Times New Roman"/>
          <w:sz w:val="44"/>
          <w:szCs w:val="44"/>
        </w:rPr>
      </w:pPr>
      <w:r>
        <w:rPr>
          <w:rFonts w:ascii="Times New Roman" w:hAnsi="Times New Roman" w:cs="Times New Roman"/>
          <w:sz w:val="44"/>
          <w:szCs w:val="44"/>
        </w:rPr>
        <w:t>地方各级人民政府机构设置和编制管理条例</w:t>
      </w:r>
    </w:p>
    <w:p w14:paraId="0096FD7F">
      <w:pPr>
        <w:pStyle w:val="10"/>
        <w:ind w:firstLine="640" w:firstLineChars="200"/>
        <w:jc w:val="center"/>
        <w:rPr>
          <w:rFonts w:ascii="Times New Roman" w:hAnsi="Times New Roman" w:cs="Times New Roman"/>
          <w:sz w:val="32"/>
          <w:szCs w:val="32"/>
        </w:rPr>
      </w:pPr>
    </w:p>
    <w:p w14:paraId="47CF4A67">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C3350AA">
      <w:pPr>
        <w:pStyle w:val="3"/>
        <w:rPr>
          <w:sz w:val="32"/>
          <w:szCs w:val="32"/>
        </w:rPr>
      </w:pPr>
      <w:r>
        <w:rPr>
          <w:rFonts w:ascii="Times New Roman" w:hAnsi="Times New Roman" w:cs="Times New Roman"/>
          <w:sz w:val="32"/>
          <w:szCs w:val="32"/>
        </w:rPr>
        <w:t>第一章　总则</w:t>
      </w:r>
    </w:p>
    <w:p w14:paraId="586EE2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为了规范地方各级人民政府机构设置，加强编制管理，提高行政效能，根据宪法、地方各级人民代表大会和地方各级人民政府组织法，制定本条例。</w:t>
      </w:r>
    </w:p>
    <w:p w14:paraId="70E0D2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地方各级人民政府机构的设置、职责配置、编制核定以及对机构编制工作的监督管理，适用本条例。</w:t>
      </w:r>
    </w:p>
    <w:p w14:paraId="51F2D4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地方各级人民政府机构设置和编制管理工作，应当按照经济社会全面协调可持续发展的要求，适应全面履行职能的需要，遵循精简、统一、效能的原则。</w:t>
      </w:r>
    </w:p>
    <w:p w14:paraId="2144B7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地方各级人民政府的机构编制工作，实行中央统一领导、地方分级管理的体制。</w:t>
      </w:r>
    </w:p>
    <w:p w14:paraId="59EC7D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县级以上各级人民政府机构编制管理机关应当按照管理权限履行管理职责，并对下级机构编制工作进行业务指导和监督。</w:t>
      </w:r>
    </w:p>
    <w:p w14:paraId="451FF5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依照国家规定的程序设置的机构和核定的编制，是录用、聘用、调配工作人员、配备领导成员和核拨</w:t>
      </w:r>
      <w:r>
        <w:rPr>
          <w:rFonts w:ascii="Times New Roman" w:hAnsi="Times New Roman" w:eastAsia="仿宋_GB2312" w:cs="Times New Roman"/>
          <w:sz w:val="32"/>
          <w:szCs w:val="32"/>
        </w:rPr>
        <w:t>经费的依据。</w:t>
      </w:r>
    </w:p>
    <w:p w14:paraId="1DE038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应当建立机构编制、人员工资与财政预算相互制约的机制，在设置机构、核定编制时，应当充分考虑财政的供养能力。机构实有人员不得突破规定的编制。禁止擅自设置机构和增加编制。对擅自设置机构和增加编制的，不得核拨财政资金或者挪用其他资金安排其经费。</w:t>
      </w:r>
    </w:p>
    <w:p w14:paraId="65B203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县级以上各级人民政府行政机构不得干预下级人民政府行政机构的设置和编制管理工作，不得要求下级人民政府设立与其业务对口的行政机构。</w:t>
      </w:r>
    </w:p>
    <w:p w14:paraId="698CFB3B">
      <w:pPr>
        <w:pStyle w:val="3"/>
        <w:bidi w:val="0"/>
      </w:pPr>
      <w:r>
        <w:t>第二章　机构设置管理</w:t>
      </w:r>
    </w:p>
    <w:p w14:paraId="5CA4CC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地方各级人民政府行政机构应当以职责的科学配置为基础，综合设置，做到职责明确、分工合理、机构精简、权责一致，决策和执行相协调。</w:t>
      </w:r>
    </w:p>
    <w:p w14:paraId="2E703D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地方各级人民政府行政机构应当根据履行职责的需要，适时调整。但是，在一届政府任期内，地方各级人民政府的工作部门应当保持相对稳定。</w:t>
      </w:r>
    </w:p>
    <w:p w14:paraId="7C9A0C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地方各级人民政府行政机构的设立、撤销、合并或者变更规格、名称，由本级人民政府提出方案，经上一级人民政府机构编制管理机关审核后，报上一级人民政府批准；其中，县级以上地方各级人民政府行政机构的设立、撤销或者合并，还应当依法报本级人民代表大会常务委员会备案。</w:t>
      </w:r>
    </w:p>
    <w:p w14:paraId="4AF2B1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地方各级人民政府行政机构职责相同或者相近的，原则上由一个行政机构承担。</w:t>
      </w:r>
    </w:p>
    <w:p w14:paraId="764CEB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构之间对职责划分有异议的，应当主动协商解决。协商一致的，报本级人民政府机构编制管理机关备案；协商不一致的，应当提请本级人民政府机构编制管理机关提出协调意见，由机构编制管理机关报本级人民政府决定。</w:t>
      </w:r>
    </w:p>
    <w:p w14:paraId="7CB828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地方各级人民政府设立议事协调机构，应当严格控制；可以交由现有机构承担职能的或者由现有机构进行协调可以解决问题的，不另设立议事协调机构。</w:t>
      </w:r>
    </w:p>
    <w:p w14:paraId="20E4B5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为办理一定时期内某项特定工作设立的议事协调机构，应当明确规定其撤销的条件和期限。</w:t>
      </w:r>
    </w:p>
    <w:p w14:paraId="48DBCA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县级以上地方各级人民政府的议事协调机构不单独设立办事机构，具体工作由有关的行政机构承担。</w:t>
      </w:r>
    </w:p>
    <w:p w14:paraId="19E270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地方各级人民政府行政机构根据工作需要和精干的原则，设立必要的内设机构。县级以上地方各级人民政府行政机构的内设机构的设立、撤销、合并或者变更规格、名称，由该行政机构报本级人民政府机构编制管理机关审批。</w:t>
      </w:r>
    </w:p>
    <w:p w14:paraId="5D4A7D65">
      <w:pPr>
        <w:pStyle w:val="3"/>
        <w:bidi w:val="0"/>
      </w:pPr>
      <w:r>
        <w:t>第三章　编制管理</w:t>
      </w:r>
    </w:p>
    <w:p w14:paraId="4B4D18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地方各级人民政府行政机构的编制，应当根据其所承担的职责，按照精简的原则核定。</w:t>
      </w:r>
    </w:p>
    <w:p w14:paraId="0F13FE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机构编制管理机关应当按照编制的不同类别和使用范围审批编制。地方各级人民政府行政机构应当使用行政编制，事业单位应当使用事业编制，不得混用、挤占、挪用或者自行设定其他类别的编制。</w:t>
      </w:r>
    </w:p>
    <w:p w14:paraId="581CF5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地方各级人民政府的行政编制总额，由省、自治区、直辖市人民政府提出，经国务院机构编制管理机关审核后，报国务院批准。</w:t>
      </w:r>
    </w:p>
    <w:p w14:paraId="39BF18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根据工作需要，国务院机构编制管理机关报经国务院批准，可以在地方行政编制总额内对特定的行政机构的行政编制实行专项管理。</w:t>
      </w:r>
    </w:p>
    <w:p w14:paraId="3B572B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地方各级人民政府根据调整职责的需要，可以在行政编制总额内调整本级人民政府有关部门的行政编制。但是，在同一个行政区域不同层级之间调配使用行政编制的，应当由省、自治区、直辖市人民政府机构编制管理机关报国务院机构编制管理机关审批。</w:t>
      </w:r>
    </w:p>
    <w:p w14:paraId="1DB40B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地方各级人民政府议事协调机构不单独确定编制，所需要的编制由承担具体工作的行政机构解决。</w:t>
      </w:r>
    </w:p>
    <w:p w14:paraId="214B39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地方各级人民政府行政机构的领导职数，按照地方各级人民代表大会和地方各级人民政府组织法的有关规定确定。</w:t>
      </w:r>
    </w:p>
    <w:p w14:paraId="21D00020">
      <w:pPr>
        <w:pStyle w:val="3"/>
        <w:bidi w:val="0"/>
      </w:pPr>
      <w:r>
        <w:t>第四章　监督检查</w:t>
      </w:r>
    </w:p>
    <w:p w14:paraId="2190EB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县级以上各级人民政府机构编制管理机关应当按照管理权限，对机构编制管理的执行情况进行监督检查；必要时，可以会同监察机关和其他有关部门对机构编制管理的执行情况进行监督检查。有关组织和个人应当予以配合。</w:t>
      </w:r>
    </w:p>
    <w:p w14:paraId="0AEBC5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县级以上各级人民政府机构编制管理机关实施监督检查时，应当严格执行规定的程序，发现违反本条例规定的行为，应当向本级人民政府提出处理意见和建议。</w:t>
      </w:r>
    </w:p>
    <w:p w14:paraId="483A14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地方各级人民政府机构编制管理机关，应当如实向上级机构编制管理机关提交机构编制年度统计资料，不得虚报、瞒报、伪造。</w:t>
      </w:r>
    </w:p>
    <w:p w14:paraId="52CE53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县级以上各级人民政府机构编制管理机关应当定期评估机构和编制的执行情况，并将评估结果作为调整机构编制的参考依据。评估的具体办法，由国务院机构编制管理机关制定。</w:t>
      </w:r>
    </w:p>
    <w:p w14:paraId="294E9F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任何组织和个人对违反机构编制管理规定的行为，都有权向机构编制管理机关、监察机关等有关部门举报。</w:t>
      </w:r>
    </w:p>
    <w:p w14:paraId="6D576D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县级以上各级人民政府机构编制管理机关应当接受社会监督。</w:t>
      </w:r>
    </w:p>
    <w:p w14:paraId="31991727">
      <w:pPr>
        <w:pStyle w:val="3"/>
        <w:bidi w:val="0"/>
      </w:pPr>
      <w:r>
        <w:t>第五章　法律责任</w:t>
      </w:r>
    </w:p>
    <w:p w14:paraId="650C32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有下列行为之一的，由机构编制管理机关给予通报批评，并责令限期改正；情节严重的，对直接负责的主管人员和其他直接责任人员，依法给予处分：</w:t>
      </w:r>
    </w:p>
    <w:p w14:paraId="60CAA9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(一)擅自设立、撤销、合并行政机构或者变更规格、名称的；</w:t>
      </w:r>
    </w:p>
    <w:p w14:paraId="4EBA87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(二)擅自改变行政机构职责的；</w:t>
      </w:r>
    </w:p>
    <w:p w14:paraId="14478D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(三)擅自增加编制或者改变编制使用范围的；</w:t>
      </w:r>
    </w:p>
    <w:p w14:paraId="72C95B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(四)超出编制限额调配财政供养人员、为超编人员核拨财政资金或者挪用其他资金安排其经费、以虚报人员等方式占用编制并冒用财政资金的；</w:t>
      </w:r>
    </w:p>
    <w:p w14:paraId="3BC71E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(五)擅自超职数、超规格配备领导成员的；</w:t>
      </w:r>
    </w:p>
    <w:p w14:paraId="502A6F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(六)违反规定干预下级人民政府行政机构的设置和编制管理工作的；</w:t>
      </w:r>
    </w:p>
    <w:p w14:paraId="76F7B0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(七)违反规定审批机构、编制的；</w:t>
      </w:r>
    </w:p>
    <w:p w14:paraId="6A274E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(八)违反机构编制管理规定的其他行为。</w:t>
      </w:r>
    </w:p>
    <w:p w14:paraId="79E837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机构编制管理机关工作人员在机构编制管理工作中滥用职权、玩忽职守、徇私舞弊，构成犯罪的，依法追究刑事责任；尚不构成犯罪的，依法给予处分。</w:t>
      </w:r>
    </w:p>
    <w:p w14:paraId="68408A27">
      <w:pPr>
        <w:pStyle w:val="3"/>
        <w:bidi w:val="0"/>
      </w:pPr>
      <w:r>
        <w:t>第六章　附则</w:t>
      </w:r>
    </w:p>
    <w:p w14:paraId="09BEF2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本条例所称编制，是指机构编制管理机关核定的行政机构和事业单位的人员数额和领导职数。</w:t>
      </w:r>
    </w:p>
    <w:p w14:paraId="6A54F7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地方的事业单位机构和编制管理办法，由省、自治区、直辖市人民政府机构编制管理机关拟定，报国务院机构编制管理机关审核后，由省、自治区、直辖市人民政府发布。事业编制的全国性标准由国务院机构编制管理机关会同国务院财政部门和其他有关部门制定。</w:t>
      </w:r>
    </w:p>
    <w:p w14:paraId="6A4ADC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4DFF7684"/>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5478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762CCE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762CCE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B60066"/>
    <w:rsid w:val="0A300271"/>
    <w:rsid w:val="0B3D0578"/>
    <w:rsid w:val="0D3C4224"/>
    <w:rsid w:val="134A1994"/>
    <w:rsid w:val="155E2CB3"/>
    <w:rsid w:val="18413C16"/>
    <w:rsid w:val="19DB6C33"/>
    <w:rsid w:val="1C9212F7"/>
    <w:rsid w:val="22DD4281"/>
    <w:rsid w:val="26CA1A3A"/>
    <w:rsid w:val="276E0BAE"/>
    <w:rsid w:val="28F8723D"/>
    <w:rsid w:val="2DBE0D65"/>
    <w:rsid w:val="2FF20DF5"/>
    <w:rsid w:val="32252208"/>
    <w:rsid w:val="33CF5811"/>
    <w:rsid w:val="386D21AD"/>
    <w:rsid w:val="3CDF39C7"/>
    <w:rsid w:val="3D762392"/>
    <w:rsid w:val="3F800236"/>
    <w:rsid w:val="40DC5AC3"/>
    <w:rsid w:val="41B857FD"/>
    <w:rsid w:val="4361706F"/>
    <w:rsid w:val="43CA1521"/>
    <w:rsid w:val="444B0E8A"/>
    <w:rsid w:val="47A250A3"/>
    <w:rsid w:val="4C8B7D8A"/>
    <w:rsid w:val="4EDF3D2B"/>
    <w:rsid w:val="4EED79F5"/>
    <w:rsid w:val="5080370D"/>
    <w:rsid w:val="53BF5C69"/>
    <w:rsid w:val="58035B31"/>
    <w:rsid w:val="58F6185E"/>
    <w:rsid w:val="591257DC"/>
    <w:rsid w:val="5DB22BFD"/>
    <w:rsid w:val="5DD739B2"/>
    <w:rsid w:val="5E900D37"/>
    <w:rsid w:val="5F5011B7"/>
    <w:rsid w:val="60492E1B"/>
    <w:rsid w:val="61152047"/>
    <w:rsid w:val="620467BA"/>
    <w:rsid w:val="622D2BEC"/>
    <w:rsid w:val="649C0E8F"/>
    <w:rsid w:val="65BF6566"/>
    <w:rsid w:val="665D25F4"/>
    <w:rsid w:val="6A403C00"/>
    <w:rsid w:val="6B4C7D1B"/>
    <w:rsid w:val="6DA577A5"/>
    <w:rsid w:val="6DB87D30"/>
    <w:rsid w:val="6E804287"/>
    <w:rsid w:val="73170D08"/>
    <w:rsid w:val="762C29D0"/>
    <w:rsid w:val="769B60FD"/>
    <w:rsid w:val="76C10F77"/>
    <w:rsid w:val="7814798C"/>
    <w:rsid w:val="78ED2B64"/>
    <w:rsid w:val="7A4B0114"/>
    <w:rsid w:val="7A6D55E9"/>
    <w:rsid w:val="7C0E15E2"/>
    <w:rsid w:val="7C57653F"/>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2025-06-29T10:21:08Z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23AC2F4165384F3BAE6DA6570CFF7DE7_12</vt:lpwstr>
  </property>
</Properties>
</file>