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0796BF">
      <w:pPr>
        <w:pStyle w:val="2"/>
        <w:jc w:val="center"/>
        <w:rPr>
          <w:rFonts w:ascii="Times New Roman" w:hAnsi="Times New Roman" w:cs="Times New Roman"/>
          <w:sz w:val="44"/>
          <w:szCs w:val="44"/>
        </w:rPr>
      </w:pPr>
      <w:bookmarkStart w:id="0" w:name="_GoBack"/>
      <w:bookmarkEnd w:id="0"/>
    </w:p>
    <w:p w14:paraId="2613677C">
      <w:pPr>
        <w:pStyle w:val="2"/>
        <w:jc w:val="center"/>
        <w:rPr>
          <w:rFonts w:ascii="Times New Roman" w:hAnsi="Times New Roman" w:cs="Times New Roman"/>
          <w:sz w:val="44"/>
          <w:szCs w:val="44"/>
        </w:rPr>
      </w:pPr>
      <w:r>
        <w:rPr>
          <w:rFonts w:ascii="Times New Roman" w:hAnsi="Times New Roman" w:cs="Times New Roman"/>
          <w:sz w:val="44"/>
          <w:szCs w:val="44"/>
        </w:rPr>
        <w:t>工商行政管理所条例</w:t>
      </w:r>
    </w:p>
    <w:p w14:paraId="5800DC70">
      <w:pPr>
        <w:pStyle w:val="2"/>
        <w:ind w:firstLine="640" w:firstLineChars="200"/>
        <w:rPr>
          <w:rFonts w:ascii="Times New Roman" w:hAnsi="Times New Roman" w:eastAsia="楷体_GB2312" w:cs="Times New Roman"/>
          <w:sz w:val="32"/>
          <w:szCs w:val="32"/>
        </w:rPr>
      </w:pPr>
    </w:p>
    <w:p w14:paraId="09E2008B">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F09E981">
      <w:pPr>
        <w:pStyle w:val="2"/>
        <w:ind w:firstLine="640" w:firstLineChars="200"/>
        <w:rPr>
          <w:rFonts w:ascii="Times New Roman" w:hAnsi="Times New Roman" w:cs="Times New Roman"/>
          <w:sz w:val="32"/>
          <w:szCs w:val="32"/>
        </w:rPr>
      </w:pPr>
    </w:p>
    <w:p w14:paraId="3C84E60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为了加强工商行政管理所(以下简称工商所)的组织建设，使工商所工作规范化、制度化，更好地发挥工商行政管理的职能作用，制定本条例。</w:t>
      </w:r>
    </w:p>
    <w:p w14:paraId="634187E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工商所是区、县(含县级市，下同)工商行政管理局(以下简称区、县工商局)的派出机构。工商所的人员编制、经费开支、干部管理和业务工作等由区、县工商局直接领导和管理。</w:t>
      </w:r>
    </w:p>
    <w:p w14:paraId="458BACA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工商所的基本任务是：依据法律、法规的规定，对辖区内的企业、个体工商户和市场经济活动进行监督管理，保护合法经营，取缔非法经营，维护正常的经济秩序。</w:t>
      </w:r>
    </w:p>
    <w:p w14:paraId="474D476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工商所按经济区域设立。</w:t>
      </w:r>
    </w:p>
    <w:p w14:paraId="1A7803E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工商所的设立，由区、县工商局根据辖区大小、经济发展情况和管理任务需要，提出具体方案，报区、县人民政府批准。</w:t>
      </w:r>
    </w:p>
    <w:p w14:paraId="5B0B841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工商所设所长一人；任务较多的，设副所长一至二人；工作人员若干人。</w:t>
      </w:r>
    </w:p>
    <w:p w14:paraId="3AB79AD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工商所实行所长负责制。</w:t>
      </w:r>
    </w:p>
    <w:p w14:paraId="43C81CA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工商所的职责包括：</w:t>
      </w:r>
    </w:p>
    <w:p w14:paraId="2165222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(一)办理辖区内由区、县工商局登记管理的企业的登记初审和年检、换照的审查手续，并对区、县工商局核准登记的企业进行监督管理；</w:t>
      </w:r>
    </w:p>
    <w:p w14:paraId="4868480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(二)管理辖区内的集贸市场，监督集市贸易经济活动；</w:t>
      </w:r>
    </w:p>
    <w:p w14:paraId="7E36310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(三)监督检查辖区内经济合同的订立及履行，调解经济合同纠纷；</w:t>
      </w:r>
    </w:p>
    <w:p w14:paraId="6FC8F55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(四)受理、初审、呈报辖区内个体工商户的开业、变更、歇业的申请事项，对个体工商户的生产经营活动进行监督管理；</w:t>
      </w:r>
    </w:p>
    <w:p w14:paraId="7F02EBC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(五)指导辖区内企业事业单位、个体工商户正确申请商标注册，并对其使用商标进行监督管理；</w:t>
      </w:r>
    </w:p>
    <w:p w14:paraId="3A9438C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(六)对辖区内设置、张贴的广告进行监督管理；</w:t>
      </w:r>
    </w:p>
    <w:p w14:paraId="3EAF942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(七)按规定收取、上缴各项工商收费及罚没款物；</w:t>
      </w:r>
    </w:p>
    <w:p w14:paraId="6FE2BC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(八)宣传工商行政管理法律、法规和有关政策；</w:t>
      </w:r>
    </w:p>
    <w:p w14:paraId="53AF378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(九)法律、法规规定的其他工商行政管理职责。</w:t>
      </w:r>
    </w:p>
    <w:p w14:paraId="13A6D1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工商所的具体工作范围，由区、县工商局依照工商行政管理的有关法律、法规和规章的规定，根据辖区内管理工作的实际需要，在前条所列职责范围内予以确定，并报上一级工商行政管理机关备案。</w:t>
      </w:r>
    </w:p>
    <w:p w14:paraId="39D38F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工商所的具体行政行为是区、县工商局的具体行政行为，但有下列情况之一的，工商所可以以自己的名义作出具体行政行为：</w:t>
      </w:r>
    </w:p>
    <w:p w14:paraId="708513F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(一)对个体工商户违法行为的处罚；</w:t>
      </w:r>
    </w:p>
    <w:p w14:paraId="09DB9A8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(二)对集市贸易中违法行为的处罚；</w:t>
      </w:r>
    </w:p>
    <w:p w14:paraId="3FE67C4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(三)法律、法规和规章规定工商所以自己的名义作出的其他具体行政行为。</w:t>
      </w:r>
    </w:p>
    <w:p w14:paraId="1069E7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前款第(一)、(二)项处罚不包括吊销营业执照。</w:t>
      </w:r>
    </w:p>
    <w:p w14:paraId="486611D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工商所应当建立健全监督管理和行政执法的工作程序，公开办事制度和办事结果，接受群众监督，做到公正严明，管理有章，处罚有据，廉洁奉公。</w:t>
      </w:r>
    </w:p>
    <w:p w14:paraId="00DB45D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工商所应当建立健全岗位责任制，对工作人员的德、能、勤、绩进行定期考核，并将考核情况作为任职、奖励、晋升的主要依据。</w:t>
      </w:r>
    </w:p>
    <w:p w14:paraId="4F96988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工商所应当建立健全财务管理和监督制度，配备专职财务人员。各项工商收费和罚没物资、现金、票证，应当分别登记造册，按规定处理。</w:t>
      </w:r>
    </w:p>
    <w:p w14:paraId="56EB2F9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工商所的费用开支，按有关财务规定执行。</w:t>
      </w:r>
    </w:p>
    <w:p w14:paraId="6DE8CB7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工商所应当建立健全内勤工作制度。各类文件和资料应当及时登记归档；认真处理来信来访；严格执行用印制度。</w:t>
      </w:r>
    </w:p>
    <w:p w14:paraId="2CA8259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工商所工作人员必须清正廉洁，秉公执法，不得以权谋私，索贿受贿。</w:t>
      </w:r>
    </w:p>
    <w:p w14:paraId="1688E24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工商所工作人员必须严格遵守国家及有关部门制定的政府机关工作人员的各项纪律、守则，积极工作，忠于职守。</w:t>
      </w:r>
    </w:p>
    <w:p w14:paraId="64E43CE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工商所工作人员执行公务时必须按规定着装，仪表庄重，待人礼貌。</w:t>
      </w:r>
    </w:p>
    <w:p w14:paraId="511D02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工商所工作人员在工作中取得突出成绩的，工商所可提请区、县工商局给予奖励。对违纪违法的，由区、县工商局依照国家有关规定给予处分；情节严重，构成犯罪的，由司法机关依法追究刑事责任。</w:t>
      </w:r>
    </w:p>
    <w:p w14:paraId="0B38C30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工商行政管理系统的其他专业所、队、站参照本条例规定执行。</w:t>
      </w:r>
    </w:p>
    <w:p w14:paraId="3BD141D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本条例由国家工商行政管理局负责解释。</w:t>
      </w:r>
    </w:p>
    <w:p w14:paraId="68CB185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F400D">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DAEAA04">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8735435"/>
    <w:rsid w:val="0029314D"/>
    <w:rsid w:val="007B17F0"/>
    <w:rsid w:val="00950E9C"/>
    <w:rsid w:val="00A659FB"/>
    <w:rsid w:val="00DE21A9"/>
    <w:rsid w:val="00DF23FC"/>
    <w:rsid w:val="08735435"/>
    <w:rsid w:val="132900A1"/>
    <w:rsid w:val="29F31387"/>
    <w:rsid w:val="2B926D81"/>
    <w:rsid w:val="4DB5463C"/>
    <w:rsid w:val="4EF2185C"/>
    <w:rsid w:val="50F77D91"/>
    <w:rsid w:val="55B7370B"/>
    <w:rsid w:val="580744E6"/>
    <w:rsid w:val="5F3842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231</Words>
  <Characters>1320</Characters>
  <Lines>11</Lines>
  <Paragraphs>3</Paragraphs>
  <TotalTime>1</TotalTime>
  <ScaleCrop>false</ScaleCrop>
  <LinksUpToDate>false</LinksUpToDate>
  <CharactersWithSpaces>1548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拱酝爻涣和</cp:lastModifiedBy>
  <dcterms:modified xsi:type="dcterms:W3CDTF">2025-06-29T10:28:09Z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984CC3045B66488AB52775737E2E1D67_12</vt:lpwstr>
  </property>
</Properties>
</file>