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9106D">
      <w:pPr>
        <w:pStyle w:val="10"/>
        <w:ind w:firstLine="640" w:firstLineChars="200"/>
        <w:rPr>
          <w:rFonts w:ascii="Times New Roman" w:hAnsi="Times New Roman" w:eastAsia="仿宋_GB2312" w:cs="Times New Roman"/>
          <w:sz w:val="32"/>
          <w:szCs w:val="32"/>
        </w:rPr>
      </w:pPr>
      <w:bookmarkStart w:id="0" w:name="_GoBack"/>
      <w:bookmarkEnd w:id="0"/>
    </w:p>
    <w:p w14:paraId="0AB661B6">
      <w:pPr>
        <w:pStyle w:val="10"/>
        <w:jc w:val="center"/>
        <w:rPr>
          <w:rFonts w:ascii="Times New Roman" w:hAnsi="Times New Roman" w:cs="Times New Roman"/>
          <w:sz w:val="32"/>
          <w:szCs w:val="32"/>
        </w:rPr>
      </w:pPr>
      <w:r>
        <w:rPr>
          <w:rFonts w:ascii="Times New Roman" w:hAnsi="Times New Roman" w:cs="Times New Roman"/>
          <w:sz w:val="44"/>
          <w:szCs w:val="44"/>
        </w:rPr>
        <w:t>无障碍环境建设条例</w:t>
      </w:r>
    </w:p>
    <w:p w14:paraId="0EAA2599">
      <w:pPr>
        <w:pStyle w:val="10"/>
        <w:jc w:val="center"/>
        <w:rPr>
          <w:rFonts w:ascii="Times New Roman" w:hAnsi="Times New Roman" w:cs="Times New Roman"/>
          <w:sz w:val="32"/>
          <w:szCs w:val="32"/>
        </w:rPr>
      </w:pPr>
    </w:p>
    <w:p w14:paraId="018E5AE6">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224FFA8C">
      <w:pPr>
        <w:pStyle w:val="3"/>
        <w:rPr>
          <w:sz w:val="32"/>
          <w:szCs w:val="32"/>
        </w:rPr>
      </w:pPr>
      <w:r>
        <w:rPr>
          <w:rFonts w:ascii="Times New Roman" w:hAnsi="Times New Roman" w:cs="Times New Roman"/>
          <w:sz w:val="32"/>
          <w:szCs w:val="32"/>
        </w:rPr>
        <w:t>第一章　总则</w:t>
      </w:r>
    </w:p>
    <w:p w14:paraId="2C25738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为了创造无障碍环境，保障残疾人等社会成员平等参与社会生活，制定本条例。</w:t>
      </w:r>
    </w:p>
    <w:p w14:paraId="29FE9F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本条例所称无障碍环境建设，是指为便于残疾人等社会成员自主安全地通行道路、出入相关建筑物、搭乘公共交通工具、交流信息、获得社区服务所进行的建设活动。</w:t>
      </w:r>
    </w:p>
    <w:p w14:paraId="1E00CC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无障碍环境建设应当与经济和社会发展水平相适应，遵循实用、易行、广泛受益的原则。</w:t>
      </w:r>
    </w:p>
    <w:p w14:paraId="2C778E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县级以上人民政府负责组织编制无障碍环境建设发展规划并组织实施。</w:t>
      </w:r>
    </w:p>
    <w:p w14:paraId="372F8A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编制无障碍环境建设发展规划，应当征求残疾人组织等社会组织的意见。</w:t>
      </w:r>
    </w:p>
    <w:p w14:paraId="464615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无障碍环境建设发展规划应当纳入国民经济和社会发展规划以及城乡规划。</w:t>
      </w:r>
    </w:p>
    <w:p w14:paraId="053DF7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国务院住房和城乡建设主管部门负责全国无障碍设施工程建设活动的监督管理工作，会同国务院有关部门制定无障碍设施工程建设标准，并对无障碍设施工程建设的情况进行监督检查。</w:t>
      </w:r>
    </w:p>
    <w:p w14:paraId="58BB91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国务院工业和信息化主管部门等有关部门在各自职责范围内，做好无障碍环境建设工作。</w:t>
      </w:r>
    </w:p>
    <w:p w14:paraId="5DDAB92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国家鼓励、支持采用无障碍通用设计的技术和产品，推进残疾人专用的无障碍技术和产品的开发、应用和推广。</w:t>
      </w:r>
    </w:p>
    <w:p w14:paraId="5389B2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国家倡导无障碍环境建设理念，鼓励公民、法人和其他组织为无障碍环境建设提供捐助和志愿服务。</w:t>
      </w:r>
    </w:p>
    <w:p w14:paraId="1FE1938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对在无障碍环境建设工作中作出显著成绩的单位和个人，按照国家有关规定给予表彰和奖励。</w:t>
      </w:r>
    </w:p>
    <w:p w14:paraId="6AD6980C">
      <w:pPr>
        <w:pStyle w:val="3"/>
        <w:bidi w:val="0"/>
      </w:pPr>
      <w:r>
        <w:t>第二章　无障碍设施建设</w:t>
      </w:r>
    </w:p>
    <w:p w14:paraId="1F7EE8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城镇新建、改建、扩建道路、公共建筑、公共交通设施、居住建筑、居住区，应当符合无障碍设施工程建设标准。</w:t>
      </w:r>
    </w:p>
    <w:p w14:paraId="5096A3A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乡、村庄的建设和发展，应当逐步达到无障碍设施工程建设标准。</w:t>
      </w:r>
    </w:p>
    <w:p w14:paraId="2871EC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无障碍设施工程应当与主体工程同步设计、同步施工、同步验收投入使用。新建的无障碍设施应当与周边的无障碍设施相衔接。</w:t>
      </w:r>
    </w:p>
    <w:p w14:paraId="14124F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对城镇已建成的不符合无障碍设施工程建设标准的道路、公共建筑、公共交通设施、居住建筑、居住区，县级以上人民政府应当制定无障碍设施改造计划并组织实施。</w:t>
      </w:r>
    </w:p>
    <w:p w14:paraId="432FD6B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无障碍设施改造由所有权人或者管理人负责。</w:t>
      </w:r>
    </w:p>
    <w:p w14:paraId="64CD49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县级以上人民政府应当优先推进下列机构、场所的无障碍设施改造：</w:t>
      </w:r>
    </w:p>
    <w:p w14:paraId="5D1509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(一)特殊教育、康复、社会福利等机构；</w:t>
      </w:r>
    </w:p>
    <w:p w14:paraId="63C0509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(二)国家机关的公共服务场所；</w:t>
      </w:r>
    </w:p>
    <w:p w14:paraId="162B850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(三)文化、体育、医疗卫生等单位的公共服务场所；</w:t>
      </w:r>
    </w:p>
    <w:p w14:paraId="09AE70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(四)交通运输、金融、邮政、商业、旅游等公共服务场所。</w:t>
      </w:r>
    </w:p>
    <w:p w14:paraId="2F49D55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城市的主要道路、主要商业区和大型居住区的人行天桥和人行地下通道，应当按照无障碍设施工程建设标准配备无障碍设施，人行道交通信号设施应当逐步完善无障碍服务功能，适应残疾人等社会成员通行的需要。</w:t>
      </w:r>
    </w:p>
    <w:p w14:paraId="59A904E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城市的大中型公共场所的公共停车场和大型居住区的停车场，应当按照无障碍设施工程建设标准设置并标明无障碍停车位。</w:t>
      </w:r>
    </w:p>
    <w:p w14:paraId="33B91D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无障碍停车位为肢体残疾人驾驶或者乘坐的机动车专用。</w:t>
      </w:r>
    </w:p>
    <w:p w14:paraId="1F9D95C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民用航空器、客运列车、客运船舶、公共汽车、城市轨道交通车辆等公共交通工具应当逐步达到无障碍设施的要求。有关主管部门应当制定公共交通工具的无障碍技术标准并确定达标期限。</w:t>
      </w:r>
    </w:p>
    <w:p w14:paraId="39C5CA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视力残疾人携带导盲犬出入公共场所，应当遵守国家有关规定，公共场所的工作人员应当按照国家有关规定提供无障碍服务。</w:t>
      </w:r>
    </w:p>
    <w:p w14:paraId="40004CF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无障碍设施的所有权人和管理人，应当对无障碍设施进行保护，有损毁或者故障及时进行维修，确保无障碍设施正常使用。</w:t>
      </w:r>
    </w:p>
    <w:p w14:paraId="202FD217">
      <w:pPr>
        <w:pStyle w:val="3"/>
        <w:bidi w:val="0"/>
      </w:pPr>
      <w:r>
        <w:t>第三章　无障碍信息交流</w:t>
      </w:r>
    </w:p>
    <w:p w14:paraId="55322C3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县级以上人民政府应当将无障碍信息交流建设纳入信息化建设规划，并采取措施推进信息交流无障碍建设。</w:t>
      </w:r>
    </w:p>
    <w:p w14:paraId="0D6017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县级以上人民政府及其有关部门发布重要政府信息和与残疾人相关的信息，应当创造条件为残疾人提供语音和文字提示等信息交流服务。</w:t>
      </w:r>
    </w:p>
    <w:p w14:paraId="6CDFCC9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国家举办的升学考试、职业资格考试和任职考试，有视力残疾人参加的，应当为视力残疾人提供盲文试卷、电子试卷，或者由工作人员予以协助。</w:t>
      </w:r>
    </w:p>
    <w:p w14:paraId="0AF0FC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设区的市级以上人民政府设立的电视台应当创造条件，在播出电视节目时配备字幕，每周播放至少一次配播手语的新闻节目。</w:t>
      </w:r>
    </w:p>
    <w:p w14:paraId="0907613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公开出版发行的影视类录像制品应当配备字幕。</w:t>
      </w:r>
    </w:p>
    <w:p w14:paraId="13B97B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设区的市级以上人民政府设立的公共图书馆应当开设视力残疾人阅览室，提供盲文读物、有声读物，其他图书馆应当逐步开设视力残疾人阅览室。</w:t>
      </w:r>
    </w:p>
    <w:p w14:paraId="71D830D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残疾人组织的网站应当达到无障碍网站设计标准，设区的市级以上人民政府网站、政府公益活动网站，应当逐步达到无障碍网站设计标准。</w:t>
      </w:r>
    </w:p>
    <w:p w14:paraId="357552C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公共服务机构和公共场所应当创造条件为残疾人提供语音和文字提示、手语、盲文等信息交流服务，并对工作人员进行无障碍服务技能培训。</w:t>
      </w:r>
    </w:p>
    <w:p w14:paraId="27464B1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举办听力残疾人集中参加的公共活动，举办单位应当提供字幕或者手语服务。</w:t>
      </w:r>
    </w:p>
    <w:p w14:paraId="491E3F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电信业务经营者提供电信服务，应当创造条件为有需求的听力、言语残疾人提供文字信息服务，为有需求的视力残疾人提供语音信息服务。</w:t>
      </w:r>
    </w:p>
    <w:p w14:paraId="5F02C5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电信终端设备制造者应当提供能够与无障碍信息交流服务相衔接的技术、产品。</w:t>
      </w:r>
    </w:p>
    <w:p w14:paraId="1C2C55AA">
      <w:pPr>
        <w:pStyle w:val="3"/>
        <w:bidi w:val="0"/>
      </w:pPr>
      <w:r>
        <w:t>第四章　无障碍社区服务</w:t>
      </w:r>
    </w:p>
    <w:p w14:paraId="04CBEE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社区公共服务设施应当逐步完善无障碍服务功能，为残疾人等社会成员参与社区生活提供便利。</w:t>
      </w:r>
    </w:p>
    <w:p w14:paraId="2DF665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地方各级人民政府应当逐步完善报警、医疗急救等紧急呼叫系统，方便残疾人等社会成员报警、呼救。</w:t>
      </w:r>
    </w:p>
    <w:p w14:paraId="66E36A9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对需要进行无障碍设施改造的贫困家庭，县级以上地方人民政府可以给予适当补助。</w:t>
      </w:r>
    </w:p>
    <w:p w14:paraId="43B4DA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组织选举的部门应当为残疾人参加选举提供便利，为视力残疾人提供盲文选票。</w:t>
      </w:r>
    </w:p>
    <w:p w14:paraId="275A5923">
      <w:pPr>
        <w:pStyle w:val="3"/>
        <w:bidi w:val="0"/>
      </w:pPr>
      <w:r>
        <w:t>第五章　法律责任</w:t>
      </w:r>
    </w:p>
    <w:p w14:paraId="62B2B3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城镇新建、改建、扩建道路、公共建筑、公共交通设施、居住建筑、居住区，不符合无障碍设施工程建设标准的，由住房和城乡建设主管部门责令改正，依法给予处罚。</w:t>
      </w:r>
    </w:p>
    <w:p w14:paraId="5145C5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肢体残疾人驾驶或者乘坐的机动车以外的机动车占用无障碍停车位，影响肢体残疾人使用的，由公安机关交通管理部门责令改正，依法给予处罚。</w:t>
      </w:r>
    </w:p>
    <w:p w14:paraId="45467FE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无障碍设施的所有权人或者管理人对无障碍设施未进行保护或者及时维修，导致无法正常使用的，由有关主管部门责令限期维修；造成使用人人身、财产损害的，无障碍设施的所有权人或者管理人应当承担赔偿责任。</w:t>
      </w:r>
    </w:p>
    <w:p w14:paraId="6AEA62B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无障碍环境建设主管部门工作人员滥用职权、玩忽职守、徇私舞弊的，依法给予处分；构成犯罪的，依法追究刑事责任。</w:t>
      </w:r>
    </w:p>
    <w:p w14:paraId="1C8B7108">
      <w:pPr>
        <w:pStyle w:val="3"/>
        <w:bidi w:val="0"/>
      </w:pPr>
      <w:r>
        <w:t>第六章　附则</w:t>
      </w:r>
    </w:p>
    <w:p w14:paraId="106024F4">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C7FAB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7C2846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7C284665">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10A47D69"/>
    <w:rsid w:val="12146020"/>
    <w:rsid w:val="12C10B30"/>
    <w:rsid w:val="134A1994"/>
    <w:rsid w:val="136642BB"/>
    <w:rsid w:val="13672BF1"/>
    <w:rsid w:val="142327B5"/>
    <w:rsid w:val="14484CDF"/>
    <w:rsid w:val="155E2CB3"/>
    <w:rsid w:val="157124FD"/>
    <w:rsid w:val="15B17054"/>
    <w:rsid w:val="16E85B46"/>
    <w:rsid w:val="174517D7"/>
    <w:rsid w:val="18413C16"/>
    <w:rsid w:val="198A0A54"/>
    <w:rsid w:val="19DB6C33"/>
    <w:rsid w:val="1BAF2172"/>
    <w:rsid w:val="1C9212F7"/>
    <w:rsid w:val="2096095A"/>
    <w:rsid w:val="20D86240"/>
    <w:rsid w:val="21CE0F2E"/>
    <w:rsid w:val="22BE2F92"/>
    <w:rsid w:val="22DD4281"/>
    <w:rsid w:val="253620CC"/>
    <w:rsid w:val="25981EEB"/>
    <w:rsid w:val="25BF3D61"/>
    <w:rsid w:val="25F044FF"/>
    <w:rsid w:val="26C10A61"/>
    <w:rsid w:val="26CA1A3A"/>
    <w:rsid w:val="27680A3B"/>
    <w:rsid w:val="27A96F19"/>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F800236"/>
    <w:rsid w:val="3F8C783C"/>
    <w:rsid w:val="40226A0B"/>
    <w:rsid w:val="40DC5AC3"/>
    <w:rsid w:val="40F66CF8"/>
    <w:rsid w:val="40FE47B4"/>
    <w:rsid w:val="41B857FD"/>
    <w:rsid w:val="4361706F"/>
    <w:rsid w:val="43CA1521"/>
    <w:rsid w:val="43D46F84"/>
    <w:rsid w:val="444B0E8A"/>
    <w:rsid w:val="45866A2B"/>
    <w:rsid w:val="47A250A3"/>
    <w:rsid w:val="48AC4D69"/>
    <w:rsid w:val="494B3B16"/>
    <w:rsid w:val="49C224BB"/>
    <w:rsid w:val="4A732A37"/>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4C7660"/>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B5540AF"/>
    <w:rsid w:val="6C267EB4"/>
    <w:rsid w:val="6D1363D3"/>
    <w:rsid w:val="6D614426"/>
    <w:rsid w:val="6DA577A5"/>
    <w:rsid w:val="6DB87D30"/>
    <w:rsid w:val="6E4B20E3"/>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ED17F92"/>
    <w:rsid w:val="7FB50D96"/>
    <w:rsid w:val="7FB63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3EB1E48FD47E470FA51B181A1CA1E3ED_12</vt:lpwstr>
  </property>
</Properties>
</file>