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B83C0">
      <w:pPr>
        <w:pStyle w:val="10"/>
        <w:ind w:firstLine="880" w:firstLineChars="200"/>
        <w:jc w:val="center"/>
        <w:rPr>
          <w:rFonts w:ascii="Times New Roman" w:hAnsi="Times New Roman" w:cs="Times New Roman"/>
          <w:sz w:val="44"/>
          <w:szCs w:val="44"/>
        </w:rPr>
      </w:pPr>
      <w:bookmarkStart w:id="0" w:name="_GoBack"/>
      <w:bookmarkEnd w:id="0"/>
    </w:p>
    <w:p w14:paraId="067756E0">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机关事务管理条例</w:t>
      </w:r>
    </w:p>
    <w:p w14:paraId="0F241471">
      <w:pPr>
        <w:pStyle w:val="10"/>
        <w:ind w:firstLine="640" w:firstLineChars="200"/>
        <w:jc w:val="center"/>
        <w:rPr>
          <w:rFonts w:ascii="Times New Roman" w:hAnsi="Times New Roman" w:cs="Times New Roman"/>
          <w:sz w:val="32"/>
          <w:szCs w:val="32"/>
        </w:rPr>
      </w:pPr>
    </w:p>
    <w:p w14:paraId="7A2AD149">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904EDA0">
      <w:pPr>
        <w:pStyle w:val="3"/>
        <w:bidi w:val="0"/>
      </w:pPr>
      <w:r>
        <w:t>第一章　总则</w:t>
      </w:r>
    </w:p>
    <w:p w14:paraId="462FC0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为了加强机关事务管理，规范机关事务工作，保障机关正常运行，降低机关运行成本，建设节约型机关，制定本条例。</w:t>
      </w:r>
    </w:p>
    <w:p w14:paraId="423BCF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各级人民政府及其部门的机关事务管理活动适用本条例。</w:t>
      </w:r>
    </w:p>
    <w:p w14:paraId="109D10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县级以上人民政府应当推进本级政府机关事务的统一管理，建立健全管理制度和标准，统筹配置资源。</w:t>
      </w:r>
    </w:p>
    <w:p w14:paraId="7C29EB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政府各部门应当对本部门的机关事务实行集中管理，执行机关事务管理制度和标准。</w:t>
      </w:r>
    </w:p>
    <w:p w14:paraId="0EF348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国务院机关事务主管部门负责拟订有关机关事务管理的规章制度，指导下级政府公务用车、公务接待、公共机构节约能源资源等工作，主管中央国家机关的机关事务工作。</w:t>
      </w:r>
    </w:p>
    <w:p w14:paraId="34A206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县级以上地方人民政府机关事务主管部门指导下级政府有关机关事务工作，主管本级政府的机关事务工作。</w:t>
      </w:r>
    </w:p>
    <w:p w14:paraId="13B7C0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县级以上人民政府应当加强对本级政府各部门和下级政府的机关事务工作的监督检查，及时纠正违法违纪行为。</w:t>
      </w:r>
    </w:p>
    <w:p w14:paraId="1739B5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发展改革、财政、审计、监察等部门和机关事务主管部门应当根据职责分工，依照有关法律、法规的规定，加强对机关运行经费、资产和服务管理工作的监督检查；接到对违反机关事务管理制度、标准行为的举报，应当及时依法调查处理。</w:t>
      </w:r>
    </w:p>
    <w:p w14:paraId="3FE18A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机关事务工作应当遵循保障公务、厉行节约、务实高效、公开透明的原则。</w:t>
      </w:r>
    </w:p>
    <w:p w14:paraId="25901A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各级人民政府应当依照国家有关政府信息公开的规定建立健全机关运行经费公开制度，定期公布公务接待费、公务用车购置和运行费、因公出国(境)费等机关运行经费的预算和决算情况。</w:t>
      </w:r>
    </w:p>
    <w:p w14:paraId="75CB7C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各级人民政府应当推进机关后勤服务、公务用车和公务接待服务等工作的社会化改革，建立健全相关管理制度。</w:t>
      </w:r>
    </w:p>
    <w:p w14:paraId="72A21D5A">
      <w:pPr>
        <w:pStyle w:val="3"/>
        <w:bidi w:val="0"/>
      </w:pPr>
      <w:r>
        <w:t>第二章　经费管理</w:t>
      </w:r>
    </w:p>
    <w:p w14:paraId="6CCFAB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各级人民政府及其部门应当加强机关运行经费管理，提高资金使用效益。</w:t>
      </w:r>
    </w:p>
    <w:p w14:paraId="095924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本条例所称机关运行经费，是指为保障机关运行用于购买货物和服务的各项资金。</w:t>
      </w:r>
    </w:p>
    <w:p w14:paraId="04B2B0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县级以上人民政府机关事务主管部门应当根据机关运行的基本需求，结合机关事务管理实际，制定实物定额和服务标准。</w:t>
      </w:r>
    </w:p>
    <w:p w14:paraId="43EA3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县级以上人民政府财政部门应当根据实物定额和服务标准，参考有关货物和服务的市场价格，组织制定机关运行经费预算支出定额标准和有关开支标准。</w:t>
      </w:r>
    </w:p>
    <w:p w14:paraId="502F34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县级以上人民政府财政部门应当根据预算支出定额标准，结合本级政府各部门的工作职责、性质和特点，按照总额控制、从严从紧的原则，采取定员定额方式编制机关运行经费预算。</w:t>
      </w:r>
    </w:p>
    <w:p w14:paraId="3EC0B5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县级以上人民政府应当将公务接待费、公务用车购置和运行费、因公出国(境)费纳入预算管理，严格控制公务接待费、公务用车购置和运行费、因公出国(境)费在机关运行经费预算总额中的规模和比例。</w:t>
      </w:r>
    </w:p>
    <w:p w14:paraId="2AF9E7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政府各部门应当根据工作需要和机关运行经费预算制定公务接待费、公务用车购置和运行费、因公出国(境)费支出计划，不得挪用其他预算资金用于公务接待、公务用车购置和运行或者因公出国(境)。</w:t>
      </w:r>
    </w:p>
    <w:p w14:paraId="45A3CA8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县级以上人民政府机关事务主管部门按照规定，结合本级政府机关事务管理实际情况，统一组织实施本级政府机关的办公用房建设和维修、公务用车配备更新、后勤服务等事务的，经费管理按照国家预算管理规定执行。</w:t>
      </w:r>
    </w:p>
    <w:p w14:paraId="14EB0C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政府各部门应当依照有关政府采购的法律、法规和规定采购机关运行所需货物和服务；需要招标投标的，应当遵守有关招标投标的法律、法规和规定。</w:t>
      </w:r>
    </w:p>
    <w:p w14:paraId="4FCEC6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政府各部门应当采购经济适用的货物，不得采购奢侈品、超标准的服务或者购建豪华办公用房。</w:t>
      </w:r>
    </w:p>
    <w:p w14:paraId="6973233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政府各部门采购纳入集中采购目录由政府集中采购机构采购的项目，不得违反规定自行采购或者以化整为零等方式规避政府集中采购。</w:t>
      </w:r>
    </w:p>
    <w:p w14:paraId="588576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政府集中采购机构应当建立健全管理制度，缩短采购周期，提高采购效率，降低采购成本，保证采购质量。政府集中采购货物和服务的价格应当低于相同货物和服务的市场平均价格。</w:t>
      </w:r>
    </w:p>
    <w:p w14:paraId="4E03A6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县级以上人民政府应当建立健全机关运行经费支出统计报告和绩效考评制度，组织开展机关运行成本统计、分析、评价等工作。</w:t>
      </w:r>
    </w:p>
    <w:p w14:paraId="03C5FD88">
      <w:pPr>
        <w:pStyle w:val="3"/>
        <w:bidi w:val="0"/>
      </w:pPr>
      <w:r>
        <w:t>第三章　资产管理</w:t>
      </w:r>
    </w:p>
    <w:p w14:paraId="05687D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县级以上人民政府机关事务主管部门按照职责分工，制定和组织实施机关资产管理的具体制度，并接受财政等有关部门的指导和监督。</w:t>
      </w:r>
    </w:p>
    <w:p w14:paraId="7AE3C5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应当根据有关机关资产管理的规定、经济社会发展水平、节能环保要求和机关运行的基本需求，结合机关事务管理实际，分类制定机关资产配置标准，确定资产数量、价格、性能和最低使用年限。政府各部门应当根据机关资产配置标准编制本部门的资产配置计划。</w:t>
      </w:r>
    </w:p>
    <w:p w14:paraId="010BE9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政府各部门应当完善机关资产使用管理制度，建立健全资产账卡和使用档案，定期清查盘点，保证资产安全完整，提高使用效益。</w:t>
      </w:r>
    </w:p>
    <w:p w14:paraId="3BD14E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政府各部门的闲置资产应当由本级政府统一调剂使用或者采取公开拍卖等方式处置，处置收益应当上缴国库。</w:t>
      </w:r>
    </w:p>
    <w:p w14:paraId="66C470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县级以上人民政府应当对本级政府机关用地实行统一管理。城镇总体规划、详细规划应当统筹考虑政府机关用地布局和空间安排的需要。</w:t>
      </w:r>
    </w:p>
    <w:p w14:paraId="52A2F6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县级以上人民政府机关事务主管部门应当统筹安排机关用地，集约节约利用土地。</w:t>
      </w:r>
    </w:p>
    <w:p w14:paraId="58AA15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对政府机关新增用地需求，县级以上人民政府国土资源主管部门应当严格审核，并依照有关土地管理的法律、法规和规定办理用地手续。</w:t>
      </w:r>
    </w:p>
    <w:p w14:paraId="2A4BF7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县级以上人民政府应当建立健全机关办公用房管理制度，对本级政府机关办公用房实行统一调配、统一权属登记；具备条件的，可以对本级政府机关办公用房实行统一建设。</w:t>
      </w:r>
    </w:p>
    <w:p w14:paraId="011BD6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政府各部门办公用房的建设和维修应当严格执行政府机关办公用房建设、维修标准，符合简朴实用、节能环保、安全保密等要求；办公用房的使用和维护应当严格执行政府机关办公用房物业服务标准。</w:t>
      </w:r>
    </w:p>
    <w:p w14:paraId="37755E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政府各部门超过核定面积的办公用房，因办公用房新建、调整和机构撤销腾退的办公用房，应当由本级政府及时收回，统一调剂使用。</w:t>
      </w:r>
    </w:p>
    <w:p w14:paraId="32D106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各级人民政府及其部门的工作人员退休或者调离的，其办公用房应当由原单位及时收回，调剂使用。</w:t>
      </w:r>
    </w:p>
    <w:p w14:paraId="10348E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政府各部门不得出租、出借办公用房或者改变办公用房使用功能；未经本级人民政府批准，不得租用办公用房。</w:t>
      </w:r>
    </w:p>
    <w:p w14:paraId="175D50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国务院机关事务主管部门会同有关部门拟订公务用车配备使用管理办法，定期发布政府公务用车选用车型目录，负责中央国家机关公务用车管理工作。执法执勤类公务用车配备使用管理的具体规定，由国务院财政部门会同有关部门制定。</w:t>
      </w:r>
    </w:p>
    <w:p w14:paraId="7CF891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县级以上地方人民政府公务用车主管部门负责本级政府公务用车管理工作，指导和监督下级政府公务用车管理工作。</w:t>
      </w:r>
    </w:p>
    <w:p w14:paraId="7F0A90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政府各部门应当严格执行公务用车编制和配备标准，建立健全公务用车配备更新管理制度，不得超编制、超标准配备公务用车或者超标准租用车辆，不得为公务用车增加高档配置或者豪华内饰，不得借用、占用下级单位和其他单位的车辆，不得接受企业事业单位和个人捐赠的车辆。</w:t>
      </w:r>
    </w:p>
    <w:p w14:paraId="650472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政府各部门应当对公务用车实行集中管理、统一调度，并建立健全公务用车使用登记和统计报告制度。</w:t>
      </w:r>
    </w:p>
    <w:p w14:paraId="1E45D0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政府各部门应当对公务用车的油耗和维修保养费用实行单车核算。</w:t>
      </w:r>
    </w:p>
    <w:p w14:paraId="6A92E175">
      <w:pPr>
        <w:pStyle w:val="3"/>
        <w:bidi w:val="0"/>
      </w:pPr>
      <w:r>
        <w:t>第四章　服务管理</w:t>
      </w:r>
    </w:p>
    <w:p w14:paraId="7A9C3D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县级以上人民政府机关事务主管部门应当制定统一的机关后勤服务管理制度，确定机关后勤服务项目和标准，加强对本级政府各部门后勤服务工作的指导和监督，合理配置和节约使用后勤服务资源。</w:t>
      </w:r>
    </w:p>
    <w:p w14:paraId="27372E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政府各部门应当建立健全本部门后勤服务管理制度，不得超出规定的项目和标准提供后勤服务。</w:t>
      </w:r>
    </w:p>
    <w:p w14:paraId="17E268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各级人民政府应当按照简化礼仪、务实节俭的原则管理和规范公务接待工作。</w:t>
      </w:r>
    </w:p>
    <w:p w14:paraId="779B8D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机关事务主管部门负责拟订政府机关公务接待的相关制度和中央国家机关公务接待标准。县级以上地方人民政府应当结合本地实际，确定公务接待的范围和标准。政府各部门和公务接待管理机构应当严格执行公务接待制度和标准。</w:t>
      </w:r>
    </w:p>
    <w:p w14:paraId="372A4EF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县级以上地方人民政府公务接待管理机构负责管理本级政府公务接待工作，指导下级政府公务接待工作。</w:t>
      </w:r>
    </w:p>
    <w:p w14:paraId="40F281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各级人民政府及其部门应当加强会议管理，控制会议数量、规模和会期，充分利用机关内部场所和电视电话、网络视频等方式召开会议，节省会议开支。</w:t>
      </w:r>
    </w:p>
    <w:p w14:paraId="03E76E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政府各部门应当执行有关因公出国(境)的规定，对本部门工作人员因公出国(境)的事由、内容、必要性和日程安排进行审查，控制因公出国(境)团组和人员数量、在国(境)外停留时间，不得安排与本部门业务工作无关的考察和培训。</w:t>
      </w:r>
    </w:p>
    <w:p w14:paraId="1137C1D2">
      <w:pPr>
        <w:pStyle w:val="3"/>
        <w:bidi w:val="0"/>
      </w:pPr>
      <w:r>
        <w:t>第五章　法律责任</w:t>
      </w:r>
    </w:p>
    <w:p w14:paraId="3FF92B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违反本条例规定，接到对违反机关事务管理制度、标准行为的举报不及时依法调查处理的，由上级机关责令改正；情节严重的，由任免机关或者监察机关对责任人员依法给予处分。</w:t>
      </w:r>
    </w:p>
    <w:p w14:paraId="578059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违反本条例规定，有下列情形之一的，由上级机关责令改正，并由任免机关或者监察机关对责任人员给予警告处分；情节较重的，给予记过或者记大过处分；情节严重的，给予降级或者撤职处分：</w:t>
      </w:r>
    </w:p>
    <w:p w14:paraId="41CC3E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(一)超预算、超标准开支公务接待费、公务用车购置和运行费、因公出国(境)费，或者挪用其他预算资金用于公务接待、公务用车购置和运行、因公出国(境)的；</w:t>
      </w:r>
    </w:p>
    <w:p w14:paraId="3DB0D6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(二)采购奢侈品、超标准的服务或者购建豪华办公用房的；</w:t>
      </w:r>
    </w:p>
    <w:p w14:paraId="5686A7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(三)出租、出借办公用房，改变办公用房使用功能，或者擅自租用办公用房的；</w:t>
      </w:r>
    </w:p>
    <w:p w14:paraId="709A55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(四)超编制、超标准配备公务用车或者超标准租用车辆，或者为公务用车增加高档配置、豪华内饰，或者借用、占用下级单位、其他单位车辆，或者接受企业事业单位、个人捐赠车辆的；</w:t>
      </w:r>
    </w:p>
    <w:p w14:paraId="1546A8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(五)超出规定的项目或者标准提供后勤服务的；</w:t>
      </w:r>
    </w:p>
    <w:p w14:paraId="639004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(六)安排与本部门业务工作无关的出国(境)考察或者培训的。</w:t>
      </w:r>
    </w:p>
    <w:p w14:paraId="1EA723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机关事务管理人员在机关事务管理活动中滥用职权、玩忽职守、徇私舞弊或者贪污受贿的，依法给予处分；构成犯罪的，依法追究刑事责任。</w:t>
      </w:r>
    </w:p>
    <w:p w14:paraId="67AEC745">
      <w:pPr>
        <w:pStyle w:val="3"/>
        <w:bidi w:val="0"/>
      </w:pPr>
      <w:r>
        <w:t>第六章　附则</w:t>
      </w:r>
    </w:p>
    <w:p w14:paraId="41457E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其他国家机关和有关人民团体的机关事务管理活动，参照本条例执行。</w:t>
      </w:r>
    </w:p>
    <w:p w14:paraId="233E36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25F5BF46"/>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51B4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21B413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21B413D">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4311FE3"/>
    <w:rsid w:val="058213F7"/>
    <w:rsid w:val="09B60066"/>
    <w:rsid w:val="0B195DCB"/>
    <w:rsid w:val="0B3D0578"/>
    <w:rsid w:val="0D3C4224"/>
    <w:rsid w:val="134A1994"/>
    <w:rsid w:val="155E2CB3"/>
    <w:rsid w:val="18413C16"/>
    <w:rsid w:val="192A2FEE"/>
    <w:rsid w:val="19DB6C33"/>
    <w:rsid w:val="1C9212F7"/>
    <w:rsid w:val="26CA1A3A"/>
    <w:rsid w:val="28F8723D"/>
    <w:rsid w:val="2DBE0D65"/>
    <w:rsid w:val="2FF20DF5"/>
    <w:rsid w:val="32252208"/>
    <w:rsid w:val="33CF5811"/>
    <w:rsid w:val="34453D3D"/>
    <w:rsid w:val="386D21AD"/>
    <w:rsid w:val="3CDF39C7"/>
    <w:rsid w:val="3D762392"/>
    <w:rsid w:val="3F800236"/>
    <w:rsid w:val="40DC5AC3"/>
    <w:rsid w:val="41B857FD"/>
    <w:rsid w:val="4361706F"/>
    <w:rsid w:val="444B0E8A"/>
    <w:rsid w:val="47056A02"/>
    <w:rsid w:val="47A250A3"/>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62C29D0"/>
    <w:rsid w:val="769B60FD"/>
    <w:rsid w:val="76C10F77"/>
    <w:rsid w:val="7814798C"/>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FD4FB8DCB8FF4FE7B53BDBB87C465AEE_12</vt:lpwstr>
  </property>
</Properties>
</file>