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D80222B">
      <w:pPr>
        <w:pStyle w:val="10"/>
        <w:jc w:val="center"/>
        <w:rPr>
          <w:rFonts w:ascii="Times New Roman" w:hAnsi="Times New Roman" w:cs="Times New Roman"/>
          <w:sz w:val="44"/>
          <w:szCs w:val="44"/>
        </w:rPr>
      </w:pPr>
      <w:bookmarkStart w:id="0" w:name="_GoBack"/>
      <w:bookmarkEnd w:id="0"/>
    </w:p>
    <w:p w14:paraId="18F750D0">
      <w:pPr>
        <w:pStyle w:val="10"/>
        <w:jc w:val="center"/>
        <w:rPr>
          <w:rFonts w:ascii="Times New Roman" w:hAnsi="Times New Roman" w:cs="Times New Roman"/>
          <w:sz w:val="44"/>
          <w:szCs w:val="44"/>
        </w:rPr>
      </w:pPr>
      <w:r>
        <w:rPr>
          <w:rFonts w:ascii="Times New Roman" w:hAnsi="Times New Roman" w:cs="Times New Roman"/>
          <w:sz w:val="44"/>
          <w:szCs w:val="44"/>
        </w:rPr>
        <w:t>村庄和集镇规划建设管理条例</w:t>
      </w:r>
    </w:p>
    <w:p w14:paraId="500856FF">
      <w:pPr>
        <w:pStyle w:val="10"/>
        <w:jc w:val="center"/>
        <w:rPr>
          <w:rFonts w:ascii="Times New Roman" w:hAnsi="Times New Roman" w:cs="Times New Roman"/>
          <w:sz w:val="44"/>
          <w:szCs w:val="44"/>
        </w:rPr>
      </w:pPr>
    </w:p>
    <w:p w14:paraId="5EE5DE71">
      <w:pPr>
        <w:pStyle w:val="10"/>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w:t>
      </w:r>
      <w:r>
        <w:rPr>
          <w:rFonts w:hint="eastAsia" w:ascii="楷体_GB2312" w:hAnsi="楷体_GB2312" w:eastAsia="楷体_GB2312" w:cs="楷体_GB2312"/>
          <w:sz w:val="32"/>
          <w:szCs w:val="32"/>
          <w:lang w:eastAsia="zh-CN"/>
        </w:rPr>
        <w:t>和平民主王国</w:t>
      </w:r>
      <w:r>
        <w:rPr>
          <w:rFonts w:hint="eastAsia" w:ascii="楷体_GB2312" w:hAnsi="楷体_GB2312" w:eastAsia="楷体_GB2312" w:cs="楷体_GB2312"/>
          <w:sz w:val="32"/>
          <w:szCs w:val="32"/>
        </w:rPr>
        <w:t>建国之日起开始生效)</w:t>
      </w:r>
    </w:p>
    <w:p w14:paraId="29E14779">
      <w:pPr>
        <w:pStyle w:val="3"/>
        <w:rPr>
          <w:sz w:val="32"/>
          <w:szCs w:val="32"/>
        </w:rPr>
      </w:pPr>
      <w:r>
        <w:rPr>
          <w:rFonts w:ascii="Times New Roman" w:hAnsi="Times New Roman" w:cs="Times New Roman"/>
          <w:sz w:val="32"/>
          <w:szCs w:val="32"/>
        </w:rPr>
        <w:t>第一章　总则</w:t>
      </w:r>
    </w:p>
    <w:p w14:paraId="4BD7C9E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为加强村庄、集镇的规划建设管理，改善村庄、集镇的生产、生活环境，促进农村经济和社会发展，制定本条例。</w:t>
      </w:r>
    </w:p>
    <w:p w14:paraId="27975D4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制定和实施村庄、集镇规划，在村庄、集镇规划区内进行居民住宅、乡(镇)村企业、乡(镇)村公共设施和公益事业等的建设，必须遵守本条例。但是，国家征用集体所有的土地进行的建设除外。</w:t>
      </w:r>
    </w:p>
    <w:p w14:paraId="5BB12D46">
      <w:pPr>
        <w:pStyle w:val="10"/>
        <w:ind w:firstLine="640" w:firstLineChars="200"/>
        <w:rPr>
          <w:rFonts w:ascii="Times New Roman" w:hAnsi="Times New Roman" w:cs="Times New Roman"/>
          <w:sz w:val="32"/>
          <w:szCs w:val="32"/>
        </w:rPr>
      </w:pPr>
      <w:r>
        <w:rPr>
          <w:rFonts w:hint="eastAsia" w:ascii="仿宋_GB2312" w:hAnsi="仿宋_GB2312" w:eastAsia="仿宋_GB2312" w:cs="仿宋_GB2312"/>
          <w:sz w:val="32"/>
          <w:szCs w:val="32"/>
        </w:rPr>
        <w:t>在城市规划区内的村庄、集镇规划的制定和实施，依照城市规划法及其实施条例执行。</w:t>
      </w:r>
    </w:p>
    <w:p w14:paraId="3432F05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本条例所称村庄，是指农村村民居住和从事各种生产的聚居点。</w:t>
      </w:r>
    </w:p>
    <w:p w14:paraId="61988EC1">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本条例所称集镇，是指乡、民族乡人民政府所在地和经县级人民政府确认由集市发展而成的作为农村一定区域经济、文化和生活服务中心的非建制镇。</w:t>
      </w:r>
    </w:p>
    <w:p w14:paraId="7919B454">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本条例所称村庄、集镇规划区，是指村庄、集镇建成区和因村庄、集镇建设及发展需要实行规划控制的区域。村庄、集镇规划区的具体范围，在村庄、集镇总体规划中划定。</w:t>
      </w:r>
    </w:p>
    <w:p w14:paraId="4A4D6D6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村庄、集镇规划建设管理，应当坚持合理布局、节约用地的原则，全面规划，正确引导，依靠群众，自力更生，因地制宜，量力而行，逐步建设，实现经济效益、社会效益和环境效益的统一。</w:t>
      </w:r>
    </w:p>
    <w:p w14:paraId="5B7B91A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地处洪涝、地震、台风、滑坡等自然灾害易发地区的村庄和集镇，应当按照国家和地方的有关规定，在村庄、集镇总体规划中制定防灾措施。</w:t>
      </w:r>
    </w:p>
    <w:p w14:paraId="0DE41D1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国务院建设行政主管部门主管全国的村庄、集镇规划建设管理工作。</w:t>
      </w:r>
    </w:p>
    <w:p w14:paraId="22BB1A67">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县级以上地方人民政府建设行政主管部门主管本行政区域的村庄、集镇规划建设管理工作。</w:t>
      </w:r>
    </w:p>
    <w:p w14:paraId="621BC4C4">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乡级人民政府负责本行政区域的村庄、集镇规划建设管理工作。</w:t>
      </w:r>
    </w:p>
    <w:p w14:paraId="6560C3D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国家鼓励村庄、集镇规划建设管理的科学研究，推广先进技术，提倡在村庄和集镇建设中，结合当地特点，采用新工艺、新材料、新结构。</w:t>
      </w:r>
    </w:p>
    <w:p w14:paraId="50B04089">
      <w:pPr>
        <w:pStyle w:val="3"/>
        <w:bidi w:val="0"/>
      </w:pPr>
      <w:r>
        <w:t>第二章　村庄和集镇规划的制定</w:t>
      </w:r>
    </w:p>
    <w:p w14:paraId="1364440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村庄、集镇规划由乡级人民政府负责组织编制，并监督实施。</w:t>
      </w:r>
    </w:p>
    <w:p w14:paraId="0A02636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村庄、集镇规划的编制，应当遵循下列原则：</w:t>
      </w:r>
    </w:p>
    <w:p w14:paraId="3509CBD4">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(一)根据国民经济和社会发展计划，结合当地经济发展的现状和要求，以及自然环境、资源条件和历史情况等，统筹兼顾，综合部署村庄和集镇的各项建设；</w:t>
      </w:r>
    </w:p>
    <w:p w14:paraId="6549C2B2">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(二)处理好近期建设与远景发展、改造与新建的关系，使村庄、集镇的性质和建设的规模、速度和标准，同经济发展和农民生活水平相适应；</w:t>
      </w:r>
    </w:p>
    <w:p w14:paraId="2CC30A48">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(三)合理用地，节约用地，各项建设应当相对集中，充分利用原有建设用地，新建、扩建工程及住宅应当尽量不占用耕地和林地；</w:t>
      </w:r>
    </w:p>
    <w:p w14:paraId="4B4E45A8">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(四)有利生产，方便生活，合理安排住宅、乡(镇)村企业、乡(镇)村公共设施和公益事业等的建设布局，促进农村各项事业协调发展，并适当留有发展余地；</w:t>
      </w:r>
    </w:p>
    <w:p w14:paraId="21F43181">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(五)保护和改善生态环境，防治污染和其他公害，加强绿化和村容镇貌、环境卫生建设。</w:t>
      </w:r>
    </w:p>
    <w:p w14:paraId="7CA1A8C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村庄、集镇规划的编制，应当以县域规划、农业区划、土地利用总体规划为依据，并同有关部门的专业规划相协调。</w:t>
      </w:r>
    </w:p>
    <w:p w14:paraId="17912DB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县级人民政府组织编制的县域规划，应当包括村庄、集镇建设体系规划。</w:t>
      </w:r>
    </w:p>
    <w:p w14:paraId="4E5F0EA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编制村庄、集镇规划，一般分为村庄、集镇总体规划和村庄、集镇建设规划两个阶段进行。</w:t>
      </w:r>
    </w:p>
    <w:p w14:paraId="0A71A57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村庄、集镇总体规划，是乡级行政区域内村庄和集镇布点规划及相应的各项建设的整体部署。</w:t>
      </w:r>
    </w:p>
    <w:p w14:paraId="6D84F90A">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村庄、集镇总体规划的主要内容包括：乡级行政区域的村庄、集镇布点，村庄和集镇的位置、性质、规模和发展方向，村庄和集镇的交通、供水、供电、邮电、商业、绿化等生产和生活服务设施的配置。</w:t>
      </w:r>
    </w:p>
    <w:p w14:paraId="4357098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村庄、集镇建设规划，应当在村庄、集镇总体规划指导下，具体安排村庄、集镇的各项建设。</w:t>
      </w:r>
    </w:p>
    <w:p w14:paraId="2C43DC11">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集镇建设规划的主要内容包括：住宅、乡(镇)村企业、乡(镇)村公共设施、公益事业等各项建设的用地布局、用地规模，有关的技术经济指标，近期建设工程以及重点地段建设具体安排。</w:t>
      </w:r>
    </w:p>
    <w:p w14:paraId="1A2060F9">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村庄建设规划的主要内容，可以根据本地区经济发展水平，参照集镇建设规划的编制内容，主要对住宅和供水、供电、道路、绿化、环境卫生以及生产配套设施作出具体安排。</w:t>
      </w:r>
    </w:p>
    <w:p w14:paraId="74083E1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村庄、集镇总体规划和集镇建设规划，须经乡级人民代表大会审查同意，由乡级人民政府报县级人民政府批准。</w:t>
      </w:r>
    </w:p>
    <w:p w14:paraId="7C0D49E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村庄建设规划，须经村民会议讨论同意，由乡级人民政府报县级人民政府批准。</w:t>
      </w:r>
    </w:p>
    <w:p w14:paraId="75D4ACD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根据社会经济发展需要，依照本条例第十四条的规定，经乡级人民代表大会或者村民会议同意，乡级人民政府可以对村庄、集镇规划进行局部调整，并报县级人民政府备案。涉及村庄、集镇的性质、规模、发展方向和总体布局重大变更的，依照本条例第十四条规定的程序办理。</w:t>
      </w:r>
    </w:p>
    <w:p w14:paraId="7948285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村庄、集镇规划期限，由省、自治区、直辖市人民政府根据本地区实际情况规定。</w:t>
      </w:r>
    </w:p>
    <w:p w14:paraId="496E811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村庄、集镇规划经批准后，由乡级人民政府公布。</w:t>
      </w:r>
    </w:p>
    <w:p w14:paraId="0E320CF6">
      <w:pPr>
        <w:pStyle w:val="3"/>
        <w:bidi w:val="0"/>
      </w:pPr>
      <w:r>
        <w:t>第三章　村庄和集镇规划的实施</w:t>
      </w:r>
    </w:p>
    <w:p w14:paraId="31781D3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农村村民在村庄、集镇规划区内建住宅的，应当先向村集体经济组织或者村民委员会提出建房申请，经村民会议讨论通过后，按照下列审批程序办理：</w:t>
      </w:r>
    </w:p>
    <w:p w14:paraId="257A8CE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需要使用耕地的，经乡级人民政府审核、县级人民政府建设行政主管部门审查同意并出具选址意见书后，方可依照《土地管理法》向县级人民政府土地管理部门申请用地，经县级人民政府批准后，由县级人民政府土地管理部门划拨土地；</w:t>
      </w:r>
    </w:p>
    <w:p w14:paraId="49DD03D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(二)使用原有宅基地、村内空闲地和其他土地的，由乡级人民政府根据村庄、集镇规划和土地利用规划批准。</w:t>
      </w:r>
    </w:p>
    <w:p w14:paraId="2D035B4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城镇非农业户口居民在村庄、集镇规划区内需要使用集体所有的土地建住宅的，应当经其所在单位或者居民委员会同意后，依照前款第(一)项规定的审批程序办理。</w:t>
      </w:r>
    </w:p>
    <w:p w14:paraId="3987637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回原籍村庄、集镇落户的职工、退伍军人和离休、退休干部以及回乡定居的华侨、港澳台同胞，在村庄、集镇规划区内需要使用集体所有的土地建住宅的，依照本条第一款第(一)项规定的审批程序办理。</w:t>
      </w:r>
    </w:p>
    <w:p w14:paraId="297EB02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兴建乡(镇)村企业，必须持县级以上地方人民政府批准的设计任务书或者其他批准文件，向县级人民政府建设行政主管部门申请选址定点，县级人民政府建设行政主管部门审查同意并出具选址意见书后，建设单位方可依法向县级人民政府土地管理部门申请用地，经县级以上人民政府批准后，由土地管理部门划拨土地。</w:t>
      </w:r>
    </w:p>
    <w:p w14:paraId="1A084B4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乡(镇)村公共设施、公益事业建设，须经乡级人民政府审核、县级人民政府建设行政主管部门审查同意并出具选址意见书后，建设单位方可依法向县级人民政府土地管理部门申请用地，经县级以上人民政府批准后，由土地管理部门划拨土地。</w:t>
      </w:r>
    </w:p>
    <w:p w14:paraId="1AEE7BD8">
      <w:pPr>
        <w:pStyle w:val="3"/>
        <w:bidi w:val="0"/>
      </w:pPr>
      <w:r>
        <w:t>第四章　村庄和集镇建设的设计、施工管理　</w:t>
      </w:r>
    </w:p>
    <w:p w14:paraId="10DF6B7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在村庄、集镇规划区内，凡建筑跨度、跨径或者高度超出规定范围的乡(镇)村企业、乡(镇)村公共设施和公益事业的建筑工程，以及二层(含二层)以上的住宅，必须由取得相应的设计资质证书的单位进行设计，或者选用通用设计、标准设计。</w:t>
      </w:r>
    </w:p>
    <w:p w14:paraId="7E5DFC1F">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跨度、跨径和高度的限定，由省、自治区、直辖市人民政府或者其授权的部门规定。</w:t>
      </w:r>
    </w:p>
    <w:p w14:paraId="58195EF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建筑设计应当贯彻适用、经济、安全和美观的原则，符合国家和地方有关节约资源、抗御灾害的规定，保持地方特色和民族风格，并注意与周围环境相协调。</w:t>
      </w:r>
    </w:p>
    <w:p w14:paraId="77FABA6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农村居民住宅设计应当符合紧凑、合理、卫生和安全的要求。</w:t>
      </w:r>
    </w:p>
    <w:p w14:paraId="79AD834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承担村庄、集镇规划区内建筑工程施工任务的单位，必须具有相应的施工资质等级证书或者资质审查证书，并按照规定的经营范围承担施工任务。</w:t>
      </w:r>
    </w:p>
    <w:p w14:paraId="1EA8AC7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在村庄、集镇规划区内从事建筑施工的个体工匠，除承担房屋修缮外，须按有关规定办理施工资质审批手续。</w:t>
      </w:r>
    </w:p>
    <w:p w14:paraId="3C561D4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施工单位应当按照设计图纸施工。任何单位和个人不得擅自修改设计图纸；确需修改的，须经原设计单位同意，并出具变更设计通知单或者图纸。</w:t>
      </w:r>
    </w:p>
    <w:p w14:paraId="6E8B024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　</w:t>
      </w:r>
      <w:r>
        <w:rPr>
          <w:rFonts w:ascii="Times New Roman" w:hAnsi="Times New Roman" w:eastAsia="仿宋_GB2312" w:cs="Times New Roman"/>
          <w:sz w:val="32"/>
          <w:szCs w:val="32"/>
        </w:rPr>
        <w:t>施工单位应当确保施工质量，按照有关的技术规定施工，不得使用不符合工程质量要求的建筑材料和建筑构件。</w:t>
      </w:r>
    </w:p>
    <w:p w14:paraId="5B399B9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　</w:t>
      </w:r>
      <w:r>
        <w:rPr>
          <w:rFonts w:ascii="Times New Roman" w:hAnsi="Times New Roman" w:eastAsia="仿宋_GB2312" w:cs="Times New Roman"/>
          <w:sz w:val="32"/>
          <w:szCs w:val="32"/>
        </w:rPr>
        <w:t>乡(镇)村企业、乡(镇)村公共设施、公益事业等建设，在开工前，建设单位和个人应当向县级以上人民政府建设行政主管部门提出开工申请，经县级以上人民政府建设行政主管部门对设计、施工条件予以审查批准后，方可开工。</w:t>
      </w:r>
    </w:p>
    <w:p w14:paraId="54FDBD2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农村居民住宅建设开工的审批程序，由省、自治区、直辖市人民政府规定。</w:t>
      </w:r>
    </w:p>
    <w:p w14:paraId="4F1D562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　</w:t>
      </w:r>
      <w:r>
        <w:rPr>
          <w:rFonts w:ascii="Times New Roman" w:hAnsi="Times New Roman" w:eastAsia="仿宋_GB2312" w:cs="Times New Roman"/>
          <w:sz w:val="32"/>
          <w:szCs w:val="32"/>
        </w:rPr>
        <w:t>县级人民政府建设行政主管部门，应当对村庄、集镇建设的施工质量进行监督检查。村庄、集镇的建设工程竣工后，应当按照国家的有关规定，经有关部门竣工验收合格后，方可交付使用。</w:t>
      </w:r>
    </w:p>
    <w:p w14:paraId="3CCAB2C1">
      <w:pPr>
        <w:pStyle w:val="3"/>
        <w:bidi w:val="0"/>
      </w:pPr>
      <w:r>
        <w:t>第五章　房屋、公共设施、村容镇貌和环境卫生管理　</w:t>
      </w:r>
    </w:p>
    <w:p w14:paraId="78DFAFC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　</w:t>
      </w:r>
      <w:r>
        <w:rPr>
          <w:rFonts w:ascii="Times New Roman" w:hAnsi="Times New Roman" w:eastAsia="仿宋_GB2312" w:cs="Times New Roman"/>
          <w:sz w:val="32"/>
          <w:szCs w:val="32"/>
        </w:rPr>
        <w:t>县级以上人民政府建设行政主管部门，应当加强对村庄、集镇房屋的产权、产籍的管理，依法保护房屋所有人对房屋的所有权。具体办法由国务院建设行政主管部门制定。</w:t>
      </w:r>
    </w:p>
    <w:p w14:paraId="77DCEAB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　</w:t>
      </w:r>
      <w:r>
        <w:rPr>
          <w:rFonts w:ascii="Times New Roman" w:hAnsi="Times New Roman" w:eastAsia="仿宋_GB2312" w:cs="Times New Roman"/>
          <w:sz w:val="32"/>
          <w:szCs w:val="32"/>
        </w:rPr>
        <w:t>任何单位和个人都应当遵守国家和地方有关村庄、集镇的房屋、公共设施的管理规定，保证房屋的使用安全和公共设施的正常使用，不得破坏或者损毁村庄、集镇的道路、桥梁、供水、排水、供电、邮电、绿化等设施。</w:t>
      </w:r>
    </w:p>
    <w:p w14:paraId="48B9AB5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　</w:t>
      </w:r>
      <w:r>
        <w:rPr>
          <w:rFonts w:ascii="Times New Roman" w:hAnsi="Times New Roman" w:eastAsia="仿宋_GB2312" w:cs="Times New Roman"/>
          <w:sz w:val="32"/>
          <w:szCs w:val="32"/>
        </w:rPr>
        <w:t>从集镇收取的城市维护建设税，应当用于集镇公共设施的维护和建设，不得挪作他用。</w:t>
      </w:r>
    </w:p>
    <w:p w14:paraId="05C4D81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　</w:t>
      </w:r>
      <w:r>
        <w:rPr>
          <w:rFonts w:ascii="Times New Roman" w:hAnsi="Times New Roman" w:eastAsia="仿宋_GB2312" w:cs="Times New Roman"/>
          <w:sz w:val="32"/>
          <w:szCs w:val="32"/>
        </w:rPr>
        <w:t>乡级人民政府应当采取措施，保护村庄、集镇饮用水源；有条件的地方，可以集中供水，使水质逐步达到国家规定的生活饮用水卫生标准。</w:t>
      </w:r>
    </w:p>
    <w:p w14:paraId="79699D1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　</w:t>
      </w:r>
      <w:r>
        <w:rPr>
          <w:rFonts w:ascii="Times New Roman" w:hAnsi="Times New Roman" w:eastAsia="仿宋_GB2312" w:cs="Times New Roman"/>
          <w:sz w:val="32"/>
          <w:szCs w:val="32"/>
        </w:rPr>
        <w:t>未经乡级人民政府批准，任何单位和个人不得擅自在村庄、集镇规划区内的街道、广场、市场和车站等场所修建临时建筑物、构筑物和其他设施。</w:t>
      </w:r>
    </w:p>
    <w:p w14:paraId="7ED250E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　</w:t>
      </w:r>
      <w:r>
        <w:rPr>
          <w:rFonts w:ascii="Times New Roman" w:hAnsi="Times New Roman" w:eastAsia="仿宋_GB2312" w:cs="Times New Roman"/>
          <w:sz w:val="32"/>
          <w:szCs w:val="32"/>
        </w:rPr>
        <w:t>任何单位和个人都应当维护村容镇貌和环境卫生，妥善处理粪堆、垃圾堆、柴草堆，养护树木花草，美化环境。</w:t>
      </w:r>
    </w:p>
    <w:p w14:paraId="2AD9E1C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　</w:t>
      </w:r>
      <w:r>
        <w:rPr>
          <w:rFonts w:ascii="Times New Roman" w:hAnsi="Times New Roman" w:eastAsia="仿宋_GB2312" w:cs="Times New Roman"/>
          <w:sz w:val="32"/>
          <w:szCs w:val="32"/>
        </w:rPr>
        <w:t>任何单位和个人都有义务保护村庄、集镇内的文物古迹、古树名木和风景名胜、军事设施、防汛设施，以及国家邮电、通信、输变电、输油管道等设施，不得损坏。</w:t>
      </w:r>
    </w:p>
    <w:p w14:paraId="7706F15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　</w:t>
      </w:r>
      <w:r>
        <w:rPr>
          <w:rFonts w:ascii="Times New Roman" w:hAnsi="Times New Roman" w:eastAsia="仿宋_GB2312" w:cs="Times New Roman"/>
          <w:sz w:val="32"/>
          <w:szCs w:val="32"/>
        </w:rPr>
        <w:t>乡级人民政府应当按照国家有关规定，对村庄、集镇建设中形成的具有保存价值的文件、图纸、资料等及时整理归档。</w:t>
      </w:r>
    </w:p>
    <w:p w14:paraId="75946709">
      <w:pPr>
        <w:pStyle w:val="3"/>
        <w:bidi w:val="0"/>
      </w:pPr>
      <w:r>
        <w:t>第六章　罚则</w:t>
      </w:r>
    </w:p>
    <w:p w14:paraId="17B8072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第三十六条　</w:t>
      </w:r>
      <w:r>
        <w:rPr>
          <w:rFonts w:ascii="Times New Roman" w:hAnsi="Times New Roman" w:eastAsia="仿宋_GB2312" w:cs="Times New Roman"/>
          <w:sz w:val="32"/>
          <w:szCs w:val="32"/>
        </w:rPr>
        <w:t>在村庄、集镇规划区内，未按规划审批程序批准而取得建设用地批准文件，占用土地的，批准文件无效，占用的土地由乡级以上人民政府责令退回。</w:t>
      </w:r>
    </w:p>
    <w:p w14:paraId="57EF13B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第三十七条　</w:t>
      </w:r>
      <w:r>
        <w:rPr>
          <w:rFonts w:ascii="Times New Roman" w:hAnsi="Times New Roman" w:eastAsia="仿宋_GB2312" w:cs="Times New Roman"/>
          <w:sz w:val="32"/>
          <w:szCs w:val="32"/>
        </w:rPr>
        <w:t>在村庄、集镇规划区内，未按规划审批程序批准或者违反规划的规定进行建设，严重影响村庄、集镇规划的，由县级人民政府建设行政主管部门责令停止建设，限期拆除或者没收违法建筑物、构筑物和其他设施；影响村庄、集镇规划，尚可采取改正措施的，由县级人民政府建设行政主管部门责令限期改正，处以罚款。</w:t>
      </w:r>
    </w:p>
    <w:p w14:paraId="241C678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农村居民未经批准或者违反规划的规定建住宅的，乡级人民政府可以依照前款规定处罚。</w:t>
      </w:r>
    </w:p>
    <w:p w14:paraId="0F08F16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第三十八条　</w:t>
      </w:r>
      <w:r>
        <w:rPr>
          <w:rFonts w:ascii="Times New Roman" w:hAnsi="Times New Roman" w:eastAsia="仿宋_GB2312" w:cs="Times New Roman"/>
          <w:sz w:val="32"/>
          <w:szCs w:val="32"/>
        </w:rPr>
        <w:t>有下列行为之一的，由县级人民政府建设行政主管部门责令停止设计或者施工、限期改正，并可处以罚款：</w:t>
      </w:r>
    </w:p>
    <w:p w14:paraId="337A066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(一)未取得设计资质证书，承担建筑跨度、跨径和高度超出规定范围的工程以及二层以上住宅的设计任务或者未按设计资质证书规定的经营范围，承担设计任务的；</w:t>
      </w:r>
    </w:p>
    <w:p w14:paraId="00D743A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(二)未取得施工资质等级证书或者资质审查证书或者未按规定的经营范围，承担施工任务的；</w:t>
      </w:r>
    </w:p>
    <w:p w14:paraId="62B1EB2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(三)不按有关技术规定施工或者使用不符合工程质量要求的建筑材料和建筑构件的；</w:t>
      </w:r>
    </w:p>
    <w:p w14:paraId="1671DA3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(四)未按设计图纸施工或者擅自修改设计图纸的。</w:t>
      </w:r>
    </w:p>
    <w:p w14:paraId="3F36A23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取得设计或者施工资质证书的勘察设计、施工单位，为无证单位提供资质证书，超过规定的经营范围，承担设计、施工任务或者设计、施工的质量不符合要求，情节严重的，由原发证机关吊销设计或者施工的资质证书。</w:t>
      </w:r>
    </w:p>
    <w:p w14:paraId="177DBDA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第三十九条　</w:t>
      </w:r>
      <w:r>
        <w:rPr>
          <w:rFonts w:ascii="Times New Roman" w:hAnsi="Times New Roman" w:eastAsia="仿宋_GB2312" w:cs="Times New Roman"/>
          <w:sz w:val="32"/>
          <w:szCs w:val="32"/>
        </w:rPr>
        <w:t>有下列行为之一的，由乡级人民政府责令停止侵害，可以处以罚款；造成损失的，并应当赔偿：</w:t>
      </w:r>
    </w:p>
    <w:p w14:paraId="7F5A524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(一)损坏村庄和集镇的房屋、公共设施的；</w:t>
      </w:r>
    </w:p>
    <w:p w14:paraId="1D1FF1D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(二)乱堆粪便、垃圾、柴草，破坏村容镇貌和环境卫生的。</w:t>
      </w:r>
    </w:p>
    <w:p w14:paraId="0342CF4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第四十条　</w:t>
      </w:r>
      <w:r>
        <w:rPr>
          <w:rFonts w:ascii="Times New Roman" w:hAnsi="Times New Roman" w:eastAsia="仿宋_GB2312" w:cs="Times New Roman"/>
          <w:sz w:val="32"/>
          <w:szCs w:val="32"/>
        </w:rPr>
        <w:t>擅自在村庄、集镇规划区内的街道、广场、市场和车站等场所修建临时建筑物、构筑物和其他设施的，由乡级人民政府责令限期拆除，并可处以罚款。</w:t>
      </w:r>
    </w:p>
    <w:p w14:paraId="1106120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第四十一条　</w:t>
      </w:r>
      <w:r>
        <w:rPr>
          <w:rFonts w:ascii="Times New Roman" w:hAnsi="Times New Roman" w:eastAsia="仿宋_GB2312" w:cs="Times New Roman"/>
          <w:sz w:val="32"/>
          <w:szCs w:val="32"/>
        </w:rPr>
        <w:t>损坏村庄、集镇内的文物古迹、古树名木和风景名胜、军事设施、防汛设施，以及国家邮电、通信、输变电、输油管道等设施的，依照有关法律、法规的规定处罚。</w:t>
      </w:r>
    </w:p>
    <w:p w14:paraId="5EFCC90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第四十二条　</w:t>
      </w:r>
      <w:r>
        <w:rPr>
          <w:rFonts w:ascii="Times New Roman" w:hAnsi="Times New Roman" w:eastAsia="仿宋_GB2312" w:cs="Times New Roman"/>
          <w:sz w:val="32"/>
          <w:szCs w:val="32"/>
        </w:rPr>
        <w:t>违反本条例，构成违反治安管理行为的，依照治安管理处罚条例的规定处罚；构成犯罪的，依法追究刑事责任。</w:t>
      </w:r>
    </w:p>
    <w:p w14:paraId="5DF0663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第四十三条　</w:t>
      </w:r>
      <w:r>
        <w:rPr>
          <w:rFonts w:ascii="Times New Roman" w:hAnsi="Times New Roman" w:eastAsia="仿宋_GB2312" w:cs="Times New Roman"/>
          <w:sz w:val="32"/>
          <w:szCs w:val="32"/>
        </w:rPr>
        <w:t>村庄、集镇建设管理人员玩忽职守、滥用职权、徇私舞弊的，由所在单位或者上级主管部门给予行政处分；构成犯罪的，依法追究刑事责任。</w:t>
      </w:r>
    </w:p>
    <w:p w14:paraId="31E6043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第四十四条　</w:t>
      </w:r>
      <w:r>
        <w:rPr>
          <w:rFonts w:ascii="Times New Roman" w:hAnsi="Times New Roman" w:eastAsia="仿宋_GB2312" w:cs="Times New Roman"/>
          <w:sz w:val="32"/>
          <w:szCs w:val="32"/>
        </w:rPr>
        <w:t>当事人对行政处罚决定不服的，可以自接到处罚决定通知之日起15日内，向作出处罚决定机关的上一级机关申请复议；对复议决定不服的，可以自接到复议决定之日起15日内，向人民法院提起诉讼。当事人也可以自接到处罚决定通知之日起15日内，直接向人民法院起诉。当事人逾期不申请复议，也不向人民法院提起诉讼，又不履行处罚决定的，作出处罚决定的机关可以申请人民法院强制执行或者依法强制执行。</w:t>
      </w:r>
    </w:p>
    <w:p w14:paraId="2B2BC3FD">
      <w:pPr>
        <w:pStyle w:val="3"/>
        <w:bidi w:val="0"/>
      </w:pPr>
      <w:r>
        <w:t>第七章　附则</w:t>
      </w:r>
    </w:p>
    <w:p w14:paraId="28B43CB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第四十五条　</w:t>
      </w:r>
      <w:r>
        <w:rPr>
          <w:rFonts w:ascii="Times New Roman" w:hAnsi="Times New Roman" w:eastAsia="仿宋_GB2312" w:cs="Times New Roman"/>
          <w:sz w:val="32"/>
          <w:szCs w:val="32"/>
        </w:rPr>
        <w:t>未设镇建制的国营农场场部、国营林场场部及其基层居民点的规划建设管理，分别由国营农场、国营林场主管部门负责，参照本条例执行。</w:t>
      </w:r>
    </w:p>
    <w:p w14:paraId="3F4493D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第四十六条　</w:t>
      </w:r>
      <w:r>
        <w:rPr>
          <w:rFonts w:ascii="Times New Roman" w:hAnsi="Times New Roman" w:eastAsia="仿宋_GB2312" w:cs="Times New Roman"/>
          <w:sz w:val="32"/>
          <w:szCs w:val="32"/>
        </w:rPr>
        <w:t>省、自治区、直辖市人民政府可以根据本条例制定实施办法。</w:t>
      </w:r>
    </w:p>
    <w:p w14:paraId="26BE61C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第四十七条　</w:t>
      </w:r>
      <w:r>
        <w:rPr>
          <w:rFonts w:ascii="Times New Roman" w:hAnsi="Times New Roman" w:eastAsia="仿宋_GB2312" w:cs="Times New Roman"/>
          <w:sz w:val="32"/>
          <w:szCs w:val="32"/>
        </w:rPr>
        <w:t>本条例由国务院建设行政主管部门负责解释。</w:t>
      </w:r>
    </w:p>
    <w:p w14:paraId="04A0E22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第四十八条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lang w:eastAsia="zh-CN"/>
        </w:rPr>
        <w:t>和平民主王国建国之日起开始生效</w:t>
      </w:r>
      <w:r>
        <w:rPr>
          <w:rFonts w:ascii="Times New Roman" w:hAnsi="Times New Roman" w:eastAsia="仿宋_GB2312" w:cs="Times New Roman"/>
          <w:sz w:val="32"/>
          <w:szCs w:val="32"/>
        </w:rPr>
        <w:t>。</w:t>
      </w:r>
    </w:p>
    <w:p w14:paraId="109DE6CF">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lang w:eastAsia="zh-CN"/>
        </w:rPr>
      </w:pPr>
    </w:p>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楷体_GBK">
    <w:altName w:val="微软雅黑"/>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BF4B15">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1C996E89">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zql5uc8AAAAFAQAADwAAAAAAAAAB&#10;ACAAAAAiAAAAZHJzL2Rvd25yZXYueG1sUEsBAhQAFAAAAAgAh07iQDpRwrzgAQAAuQMAAA4AAAAA&#10;AAAAAQAgAAAAHgEAAGRycy9lMm9Eb2MueG1sUEsFBgAAAAAGAAYAWQEAAHAFAAAAAA==&#10;">
              <v:fill on="f" focussize="0,0"/>
              <v:stroke on="f"/>
              <v:imagedata o:title=""/>
              <o:lock v:ext="edit" aspectratio="f"/>
              <v:textbox inset="0mm,0mm,0mm,0mm" style="mso-fit-shape-to-text:t;">
                <w:txbxContent>
                  <w:p w14:paraId="1C996E89">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52181F"/>
    <w:rsid w:val="0171175D"/>
    <w:rsid w:val="01AB304A"/>
    <w:rsid w:val="01B023D3"/>
    <w:rsid w:val="01CF6706"/>
    <w:rsid w:val="026D2287"/>
    <w:rsid w:val="02B836F8"/>
    <w:rsid w:val="02D3568D"/>
    <w:rsid w:val="03356D16"/>
    <w:rsid w:val="03985ADA"/>
    <w:rsid w:val="039F0CBD"/>
    <w:rsid w:val="04401145"/>
    <w:rsid w:val="058213F7"/>
    <w:rsid w:val="0788080A"/>
    <w:rsid w:val="07E71367"/>
    <w:rsid w:val="08FF0C17"/>
    <w:rsid w:val="094845F0"/>
    <w:rsid w:val="0963250F"/>
    <w:rsid w:val="097F7BAD"/>
    <w:rsid w:val="09B60066"/>
    <w:rsid w:val="0A8C2526"/>
    <w:rsid w:val="0AEB2A0D"/>
    <w:rsid w:val="0B3D0578"/>
    <w:rsid w:val="0D3C4224"/>
    <w:rsid w:val="0D610029"/>
    <w:rsid w:val="0DFE10B9"/>
    <w:rsid w:val="10A47D69"/>
    <w:rsid w:val="12146020"/>
    <w:rsid w:val="134A1994"/>
    <w:rsid w:val="136642BB"/>
    <w:rsid w:val="142327B5"/>
    <w:rsid w:val="14484CDF"/>
    <w:rsid w:val="155E2CB3"/>
    <w:rsid w:val="157124FD"/>
    <w:rsid w:val="174517D7"/>
    <w:rsid w:val="18413C16"/>
    <w:rsid w:val="198A0A54"/>
    <w:rsid w:val="19DB6C33"/>
    <w:rsid w:val="1BAF2172"/>
    <w:rsid w:val="1C9212F7"/>
    <w:rsid w:val="2096095A"/>
    <w:rsid w:val="20D86240"/>
    <w:rsid w:val="21CE0F2E"/>
    <w:rsid w:val="22DD4281"/>
    <w:rsid w:val="253620CC"/>
    <w:rsid w:val="25F044FF"/>
    <w:rsid w:val="26CA1A3A"/>
    <w:rsid w:val="27680A3B"/>
    <w:rsid w:val="2834230D"/>
    <w:rsid w:val="284A7424"/>
    <w:rsid w:val="287A18EA"/>
    <w:rsid w:val="28F8723D"/>
    <w:rsid w:val="2B01664D"/>
    <w:rsid w:val="2C7458A4"/>
    <w:rsid w:val="2D644059"/>
    <w:rsid w:val="2DBE0D65"/>
    <w:rsid w:val="2DDE6B1E"/>
    <w:rsid w:val="2E1B43B4"/>
    <w:rsid w:val="2ED32E01"/>
    <w:rsid w:val="2FF20DF5"/>
    <w:rsid w:val="318138A8"/>
    <w:rsid w:val="31E32CC3"/>
    <w:rsid w:val="31F05688"/>
    <w:rsid w:val="320E2B0A"/>
    <w:rsid w:val="32252208"/>
    <w:rsid w:val="330D4027"/>
    <w:rsid w:val="3330356C"/>
    <w:rsid w:val="33CF5811"/>
    <w:rsid w:val="34031BBE"/>
    <w:rsid w:val="35095248"/>
    <w:rsid w:val="355560D1"/>
    <w:rsid w:val="386D21AD"/>
    <w:rsid w:val="39C71577"/>
    <w:rsid w:val="3A7915E5"/>
    <w:rsid w:val="3B1265AF"/>
    <w:rsid w:val="3BA0652C"/>
    <w:rsid w:val="3CA23060"/>
    <w:rsid w:val="3CDF39C7"/>
    <w:rsid w:val="3D762392"/>
    <w:rsid w:val="3DFC6899"/>
    <w:rsid w:val="3E3675FB"/>
    <w:rsid w:val="3F800236"/>
    <w:rsid w:val="3F8C783C"/>
    <w:rsid w:val="40DC5AC3"/>
    <w:rsid w:val="40F66CF8"/>
    <w:rsid w:val="40FE47B4"/>
    <w:rsid w:val="41B857FD"/>
    <w:rsid w:val="4361706F"/>
    <w:rsid w:val="43CA1521"/>
    <w:rsid w:val="43D46F84"/>
    <w:rsid w:val="444B0E8A"/>
    <w:rsid w:val="45866A2B"/>
    <w:rsid w:val="47A250A3"/>
    <w:rsid w:val="48AC4D69"/>
    <w:rsid w:val="494B3B16"/>
    <w:rsid w:val="49C224BB"/>
    <w:rsid w:val="4AC306C1"/>
    <w:rsid w:val="4D31223B"/>
    <w:rsid w:val="4DC87E21"/>
    <w:rsid w:val="4E6A2FDF"/>
    <w:rsid w:val="4EDF3D2B"/>
    <w:rsid w:val="4EED79F5"/>
    <w:rsid w:val="5080370D"/>
    <w:rsid w:val="512A1D93"/>
    <w:rsid w:val="523F45D1"/>
    <w:rsid w:val="52695AB4"/>
    <w:rsid w:val="529D4C7B"/>
    <w:rsid w:val="53BF5C69"/>
    <w:rsid w:val="53DA0A43"/>
    <w:rsid w:val="55B865F8"/>
    <w:rsid w:val="55C0390E"/>
    <w:rsid w:val="55D520AC"/>
    <w:rsid w:val="566F7832"/>
    <w:rsid w:val="5715748F"/>
    <w:rsid w:val="575D4E2E"/>
    <w:rsid w:val="577F6B33"/>
    <w:rsid w:val="58035B31"/>
    <w:rsid w:val="58F6185E"/>
    <w:rsid w:val="591257DC"/>
    <w:rsid w:val="5B353B99"/>
    <w:rsid w:val="5C223266"/>
    <w:rsid w:val="5DB22BFD"/>
    <w:rsid w:val="5DD739B2"/>
    <w:rsid w:val="5E900D37"/>
    <w:rsid w:val="5F5011B7"/>
    <w:rsid w:val="5F88093C"/>
    <w:rsid w:val="60492E1B"/>
    <w:rsid w:val="61152047"/>
    <w:rsid w:val="620467BA"/>
    <w:rsid w:val="622D2BEC"/>
    <w:rsid w:val="62F60DE0"/>
    <w:rsid w:val="63DD0DD3"/>
    <w:rsid w:val="641F5EE8"/>
    <w:rsid w:val="649C0E8F"/>
    <w:rsid w:val="65532802"/>
    <w:rsid w:val="65BF6566"/>
    <w:rsid w:val="665D25F4"/>
    <w:rsid w:val="674048E2"/>
    <w:rsid w:val="68715924"/>
    <w:rsid w:val="6A403C00"/>
    <w:rsid w:val="6B4C7D1B"/>
    <w:rsid w:val="6C267EB4"/>
    <w:rsid w:val="6D1363D3"/>
    <w:rsid w:val="6D614426"/>
    <w:rsid w:val="6DA577A5"/>
    <w:rsid w:val="6DAE018F"/>
    <w:rsid w:val="6DB87D30"/>
    <w:rsid w:val="6E804287"/>
    <w:rsid w:val="6EB30283"/>
    <w:rsid w:val="712B5699"/>
    <w:rsid w:val="746D1278"/>
    <w:rsid w:val="762C29D0"/>
    <w:rsid w:val="76975133"/>
    <w:rsid w:val="769B60FD"/>
    <w:rsid w:val="76C10F77"/>
    <w:rsid w:val="77D8678E"/>
    <w:rsid w:val="78061DFD"/>
    <w:rsid w:val="7814798C"/>
    <w:rsid w:val="7819740D"/>
    <w:rsid w:val="789F59B2"/>
    <w:rsid w:val="78ED2B64"/>
    <w:rsid w:val="7A224A32"/>
    <w:rsid w:val="7A4B0114"/>
    <w:rsid w:val="7A6D55E9"/>
    <w:rsid w:val="7ABD49CD"/>
    <w:rsid w:val="7BA85469"/>
    <w:rsid w:val="7C0E15E2"/>
    <w:rsid w:val="7C28250F"/>
    <w:rsid w:val="7CFB06AD"/>
    <w:rsid w:val="7D0E2676"/>
    <w:rsid w:val="7E600C51"/>
    <w:rsid w:val="7E8622B0"/>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0"/>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1"/>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5">
    <w:name w:val="Default Paragraph Font"/>
    <w:semiHidden/>
    <w:unhideWhenUsed/>
    <w:qFormat/>
    <w:uiPriority w:val="1"/>
  </w:style>
  <w:style w:type="table" w:default="1" w:styleId="14">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CellMar>
        <w:top w:w="0" w:type="dxa"/>
        <w:left w:w="108" w:type="dxa"/>
        <w:bottom w:w="0" w:type="dxa"/>
        <w:right w:w="108" w:type="dxa"/>
      </w:tblCellMar>
    </w:tblPr>
  </w:style>
  <w:style w:type="paragraph" w:styleId="10">
    <w:name w:val="Plain Text"/>
    <w:basedOn w:val="1"/>
    <w:link w:val="16"/>
    <w:unhideWhenUsed/>
    <w:qFormat/>
    <w:uiPriority w:val="99"/>
    <w:rPr>
      <w:rFonts w:ascii="宋体" w:hAnsi="Courier New" w:eastAsia="宋体" w:cs="Courier New"/>
      <w:szCs w:val="21"/>
    </w:rPr>
  </w:style>
  <w:style w:type="paragraph" w:styleId="11">
    <w:name w:val="footer"/>
    <w:basedOn w:val="1"/>
    <w:link w:val="18"/>
    <w:semiHidden/>
    <w:unhideWhenUsed/>
    <w:qFormat/>
    <w:uiPriority w:val="99"/>
    <w:pPr>
      <w:tabs>
        <w:tab w:val="center" w:pos="4153"/>
        <w:tab w:val="right" w:pos="8306"/>
      </w:tabs>
      <w:snapToGrid w:val="0"/>
      <w:jc w:val="left"/>
    </w:pPr>
    <w:rPr>
      <w:sz w:val="18"/>
      <w:szCs w:val="18"/>
    </w:rPr>
  </w:style>
  <w:style w:type="paragraph" w:styleId="12">
    <w:name w:val="header"/>
    <w:basedOn w:val="1"/>
    <w:link w:val="1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semiHidden/>
    <w:unhideWhenUsed/>
    <w:qFormat/>
    <w:uiPriority w:val="99"/>
    <w:rPr>
      <w:sz w:val="24"/>
    </w:rPr>
  </w:style>
  <w:style w:type="character" w:customStyle="1" w:styleId="16">
    <w:name w:val="纯文本 Char"/>
    <w:basedOn w:val="15"/>
    <w:link w:val="10"/>
    <w:qFormat/>
    <w:uiPriority w:val="99"/>
    <w:rPr>
      <w:rFonts w:ascii="宋体" w:hAnsi="Courier New" w:eastAsia="宋体" w:cs="Courier New"/>
      <w:szCs w:val="21"/>
    </w:rPr>
  </w:style>
  <w:style w:type="character" w:customStyle="1" w:styleId="17">
    <w:name w:val="页眉 Char"/>
    <w:basedOn w:val="15"/>
    <w:link w:val="12"/>
    <w:semiHidden/>
    <w:qFormat/>
    <w:uiPriority w:val="99"/>
    <w:rPr>
      <w:sz w:val="18"/>
      <w:szCs w:val="18"/>
    </w:rPr>
  </w:style>
  <w:style w:type="character" w:customStyle="1" w:styleId="18">
    <w:name w:val="页脚 Char"/>
    <w:basedOn w:val="15"/>
    <w:link w:val="11"/>
    <w:semiHidden/>
    <w:qFormat/>
    <w:uiPriority w:val="99"/>
    <w:rPr>
      <w:sz w:val="18"/>
      <w:szCs w:val="18"/>
    </w:rPr>
  </w:style>
  <w:style w:type="character" w:customStyle="1" w:styleId="19">
    <w:name w:val="标题 1 Char"/>
    <w:basedOn w:val="15"/>
    <w:link w:val="2"/>
    <w:qFormat/>
    <w:uiPriority w:val="9"/>
    <w:rPr>
      <w:rFonts w:eastAsia="黑体" w:asciiTheme="minorAscii" w:hAnsiTheme="minorAscii"/>
      <w:bCs/>
      <w:kern w:val="44"/>
      <w:sz w:val="32"/>
      <w:szCs w:val="44"/>
    </w:rPr>
  </w:style>
  <w:style w:type="character" w:customStyle="1" w:styleId="20">
    <w:name w:val="标题 2 Char"/>
    <w:basedOn w:val="15"/>
    <w:link w:val="3"/>
    <w:semiHidden/>
    <w:qFormat/>
    <w:uiPriority w:val="9"/>
    <w:rPr>
      <w:rFonts w:eastAsia="方正黑体_GBK" w:asciiTheme="majorAscii" w:hAnsiTheme="majorAscii" w:cstheme="majorBidi"/>
      <w:bCs/>
      <w:sz w:val="32"/>
      <w:szCs w:val="32"/>
    </w:rPr>
  </w:style>
  <w:style w:type="character" w:customStyle="1" w:styleId="21">
    <w:name w:val="标题 3 Char"/>
    <w:basedOn w:val="15"/>
    <w:link w:val="4"/>
    <w:semiHidden/>
    <w:qFormat/>
    <w:uiPriority w:val="9"/>
    <w:rPr>
      <w:rFonts w:eastAsia="方正楷体_GBK" w:asciiTheme="minorAscii" w:hAnsiTheme="minorAscii"/>
      <w:b/>
      <w:bCs/>
      <w:sz w:val="32"/>
      <w:szCs w:val="32"/>
    </w:rPr>
  </w:style>
  <w:style w:type="character" w:customStyle="1" w:styleId="22">
    <w:name w:val="标题 4 Char"/>
    <w:basedOn w:val="15"/>
    <w:link w:val="5"/>
    <w:semiHidden/>
    <w:qFormat/>
    <w:uiPriority w:val="9"/>
    <w:rPr>
      <w:rFonts w:asciiTheme="majorHAnsi" w:hAnsiTheme="majorHAnsi" w:eastAsiaTheme="majorEastAsia" w:cstheme="majorBidi"/>
      <w:b/>
      <w:bCs/>
      <w:sz w:val="28"/>
      <w:szCs w:val="28"/>
    </w:rPr>
  </w:style>
  <w:style w:type="character" w:customStyle="1" w:styleId="23">
    <w:name w:val="标题 5 Char"/>
    <w:basedOn w:val="15"/>
    <w:link w:val="6"/>
    <w:semiHidden/>
    <w:qFormat/>
    <w:uiPriority w:val="9"/>
    <w:rPr>
      <w:b/>
      <w:bCs/>
      <w:sz w:val="28"/>
      <w:szCs w:val="28"/>
    </w:rPr>
  </w:style>
  <w:style w:type="character" w:customStyle="1" w:styleId="24">
    <w:name w:val="标题 6 Char"/>
    <w:basedOn w:val="15"/>
    <w:link w:val="7"/>
    <w:semiHidden/>
    <w:qFormat/>
    <w:uiPriority w:val="9"/>
    <w:rPr>
      <w:rFonts w:asciiTheme="majorHAnsi" w:hAnsiTheme="majorHAnsi" w:eastAsiaTheme="majorEastAsia" w:cstheme="majorBidi"/>
      <w:b/>
      <w:bCs/>
      <w:sz w:val="24"/>
      <w:szCs w:val="24"/>
    </w:rPr>
  </w:style>
  <w:style w:type="character" w:customStyle="1" w:styleId="25">
    <w:name w:val="标题 7 Char"/>
    <w:basedOn w:val="15"/>
    <w:link w:val="8"/>
    <w:semiHidden/>
    <w:qFormat/>
    <w:uiPriority w:val="9"/>
    <w:rPr>
      <w:b/>
      <w:bCs/>
      <w:sz w:val="24"/>
      <w:szCs w:val="24"/>
    </w:rPr>
  </w:style>
  <w:style w:type="character" w:customStyle="1" w:styleId="26">
    <w:name w:val="标题 8 Char"/>
    <w:basedOn w:val="15"/>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12</Pages>
  <Words>267</Words>
  <Characters>1526</Characters>
  <Lines>12</Lines>
  <Paragraphs>3</Paragraphs>
  <TotalTime>1</TotalTime>
  <ScaleCrop>false</ScaleCrop>
  <LinksUpToDate>false</LinksUpToDate>
  <CharactersWithSpaces>1790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拱酝爻涣和</cp:lastModifiedBy>
  <dcterms:modified xsi:type="dcterms:W3CDTF">2025-06-29T10:20:37Z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E9D4DBF4F6A24D26920A587BFD214FE3_12</vt:lpwstr>
  </property>
</Properties>
</file>