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21115">
      <w:pPr>
        <w:pStyle w:val="4"/>
        <w:jc w:val="center"/>
        <w:rPr>
          <w:rFonts w:hint="eastAsia" w:ascii="Times New Roman" w:hAnsi="Times New Roman" w:cs="Times New Roman"/>
          <w:sz w:val="44"/>
          <w:szCs w:val="44"/>
        </w:rPr>
      </w:pPr>
      <w:bookmarkStart w:id="0" w:name="_GoBack"/>
      <w:bookmarkEnd w:id="0"/>
    </w:p>
    <w:p w14:paraId="1CFD110F">
      <w:pPr>
        <w:pStyle w:val="4"/>
        <w:jc w:val="center"/>
        <w:rPr>
          <w:rFonts w:ascii="Times New Roman" w:hAnsi="Times New Roman" w:cs="Times New Roman"/>
          <w:sz w:val="44"/>
          <w:szCs w:val="44"/>
        </w:rPr>
      </w:pPr>
      <w:r>
        <w:rPr>
          <w:rFonts w:ascii="Times New Roman" w:hAnsi="Times New Roman" w:cs="Times New Roman"/>
          <w:sz w:val="44"/>
          <w:szCs w:val="44"/>
        </w:rPr>
        <w:t>电力安全事故应急处置和</w:t>
      </w:r>
    </w:p>
    <w:p w14:paraId="23AFC83E">
      <w:pPr>
        <w:pStyle w:val="4"/>
        <w:jc w:val="center"/>
        <w:rPr>
          <w:rFonts w:ascii="Times New Roman" w:hAnsi="Times New Roman" w:cs="Times New Roman"/>
          <w:sz w:val="44"/>
          <w:szCs w:val="44"/>
        </w:rPr>
      </w:pPr>
      <w:r>
        <w:rPr>
          <w:rFonts w:ascii="Times New Roman" w:hAnsi="Times New Roman" w:cs="Times New Roman"/>
          <w:sz w:val="44"/>
          <w:szCs w:val="44"/>
        </w:rPr>
        <w:t>调查处理条例</w:t>
      </w:r>
    </w:p>
    <w:p w14:paraId="593D6249">
      <w:pPr>
        <w:pStyle w:val="4"/>
        <w:ind w:firstLine="640" w:firstLineChars="200"/>
        <w:rPr>
          <w:rFonts w:hint="eastAsia" w:ascii="方正楷体_GBK" w:hAnsi="方正楷体_GBK" w:eastAsia="方正楷体_GBK" w:cs="方正楷体_GBK"/>
          <w:sz w:val="32"/>
          <w:szCs w:val="32"/>
        </w:rPr>
      </w:pPr>
    </w:p>
    <w:p w14:paraId="7D01B048">
      <w:pPr>
        <w:pStyle w:val="4"/>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6C4836C">
      <w:pPr>
        <w:pStyle w:val="2"/>
        <w:rPr>
          <w:rFonts w:ascii="方正黑体_GBK"/>
        </w:rPr>
      </w:pPr>
      <w:r>
        <w:rPr>
          <w:rFonts w:hint="eastAsia" w:ascii="方正黑体_GBK" w:hAnsi="Times New Roman" w:cs="Times New Roman"/>
        </w:rPr>
        <w:t>第一章　总则</w:t>
      </w:r>
    </w:p>
    <w:p w14:paraId="582FDE7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为了加强电力安全事故的应急处置工作，规范电力安全事故的调查处理，控制、减轻和消除电力安全事故损害，制定本条例。</w:t>
      </w:r>
    </w:p>
    <w:p w14:paraId="0021A01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本条例所称电力安全事故，是指电力生产或者电网运行过程中发生的影响电力系统安全稳定运行或者影响电力正常供应的事故(包括热电厂发生的影响热力正常供应的事故)。</w:t>
      </w:r>
    </w:p>
    <w:p w14:paraId="08F3AD2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根据电力安全事故(以下简称事故)影响电力系统安全稳定运行或者影响电力(热力)正常供应的程度，事故分为特别重大事故、重大事故、较大事故和一般事故。事故等级划分标准由本条例附表列示。事故等级划分标准的部分项目需要调整的，由国务院电力监管机构提出方案，报国务院批准。</w:t>
      </w:r>
    </w:p>
    <w:p w14:paraId="1DAAA5A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独立的或者通过单一输电线路与外省连接的省级电网供电的省级人民政府所在地城市，以及由单一输电线路或者单一变电站供电的其他设区的市、县级市，其电网减供负荷或者造成供电用户停电的事故等级划分标准，由国务院电力监管机构另行制定，报国务院批准。</w:t>
      </w:r>
    </w:p>
    <w:p w14:paraId="63C2918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国务院电力监管机构应当加强电力安全监督管理，依法建立健全事故应急处置和调查处理的各项制度，组织或者参与事故的调查处理。</w:t>
      </w:r>
    </w:p>
    <w:p w14:paraId="65236DF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国务院电力监管机构、国务院能源主管部门和国务院其他有关部门、地方人民政府及有关部门按照国家规定的权限和程序，组织、协调、参与事故的应急处置工作。</w:t>
      </w:r>
    </w:p>
    <w:p w14:paraId="4E1A41D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电力企业、电力用户以及其他有关单位和个人，应当遵守电力安全管理规定，落实事故预防措施，防止和避免事故发生。</w:t>
      </w:r>
    </w:p>
    <w:p w14:paraId="06E1F14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县级以上地方人民政府有关部门确定的重要电力用户，应当按照国务院电力监管机构的规定配置自备应急电源，并加强安全使用管理。</w:t>
      </w:r>
    </w:p>
    <w:p w14:paraId="2437FDD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事故发生后，电力企业和其他有关单位应当按照规定及时、准确报告事故情况，开展应急处置工作，防止事故扩大，减轻事故损害。电力企业应当尽快恢复电力生产、电网运行和电力(热力)正常供应。</w:t>
      </w:r>
    </w:p>
    <w:p w14:paraId="70D1A72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任何单位和个人不得阻挠和干涉对事故的报告、应急处置和依法调查处理。</w:t>
      </w:r>
    </w:p>
    <w:p w14:paraId="5ECBA6AB">
      <w:pPr>
        <w:pStyle w:val="2"/>
        <w:rPr>
          <w:rFonts w:ascii="方正黑体_GBK"/>
        </w:rPr>
      </w:pPr>
      <w:r>
        <w:rPr>
          <w:rFonts w:hint="eastAsia" w:ascii="方正黑体_GBK" w:hAnsi="Times New Roman" w:cs="Times New Roman"/>
        </w:rPr>
        <w:t>第二章　事故报告</w:t>
      </w:r>
    </w:p>
    <w:p w14:paraId="690D9C6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事故发生后，事故现场有关人员应当立即向发电厂、变电站运行值班人员、电力调度机构值班人员或者本企业现场负责人报告。有关人员接到报告后，应当立即向上一级电力调度机构和本企业负责人报告。本企业负责人接到报告后，应当立即向国务院电力监管机构设在当地的派出机构(以下称事故发生地电力监管机构)、县级以上人民政府安全生产监督管理部门报告；热电厂事故影响热力正常供应的，还应当向供热管理部门报告；事故涉及水电厂(站)大坝安全的，还应当同时向有管辖权的水行政主管部门或者流域管理机构报告。</w:t>
      </w:r>
    </w:p>
    <w:p w14:paraId="4D4A95C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电力企业及其有关人员不得迟报、漏报或者瞒报、谎报事故情况。</w:t>
      </w:r>
    </w:p>
    <w:p w14:paraId="0916036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事故发生地电力监管机构接到事故报告后，应当立即核实有关情况，向国务院电力监管机构报告；事故造成供电用户停电的，应当同时通报事故发生地县级以上地方人民政府。</w:t>
      </w:r>
    </w:p>
    <w:p w14:paraId="5AC362E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对特别重大事故、重大事故，国务院电力监管机构接到事故报告后应当立即报告国务院，并通报国务院安全生产监督管理部门、国务院能源主管部门等有关部门。</w:t>
      </w:r>
    </w:p>
    <w:p w14:paraId="6600EB7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事故报告应当包括下列内容：</w:t>
      </w:r>
    </w:p>
    <w:p w14:paraId="478DFCB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(一)事故发生的时间、地点(区域)以及事故发生单位；</w:t>
      </w:r>
    </w:p>
    <w:p w14:paraId="47B3E0C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(二)已知的电力设备、设施损坏情况，停运的发电(供热)机组数量、电网减供负荷或者发电厂减少出力的数值、停电(停热)范围；</w:t>
      </w:r>
    </w:p>
    <w:p w14:paraId="2D988B1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(三)事故原因的初步判断；</w:t>
      </w:r>
    </w:p>
    <w:p w14:paraId="4757BEF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(四)事故发生后采取的措施、电网运行方式、发电机组运行状况以及事故控制情况；</w:t>
      </w:r>
    </w:p>
    <w:p w14:paraId="4C345A1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(五)其他应当报告的情况。</w:t>
      </w:r>
    </w:p>
    <w:p w14:paraId="7431B70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事故报告后出现新情况的，应当及时补报。</w:t>
      </w:r>
    </w:p>
    <w:p w14:paraId="5B5863D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事故发生后，有关单位和人员应当妥善保护事故现场以及工作日志、工作票、操作票等相关材料，及时保存故障录波图、电力调度数据、发电机组运行数据和输变电设备运行数据等相关资料，并在事故调查组成立后将相关材料、资料移交事故调查组。</w:t>
      </w:r>
    </w:p>
    <w:p w14:paraId="6301676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因抢救人员或者采取恢复电力生产、电网运行和电力供应等紧急措施，需要改变事故现场、移动电力设备的，应当作出标记、绘制现场简图，妥善保存重要痕迹、物证，并作出书面记录。</w:t>
      </w:r>
    </w:p>
    <w:p w14:paraId="734529E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任何单位和个人不得故意破坏事故现场，不得伪造、隐匿或者毁灭相关证据。</w:t>
      </w:r>
    </w:p>
    <w:p w14:paraId="0987DD66">
      <w:pPr>
        <w:pStyle w:val="2"/>
        <w:rPr>
          <w:rFonts w:ascii="方正黑体_GBK"/>
        </w:rPr>
      </w:pPr>
      <w:r>
        <w:rPr>
          <w:rFonts w:hint="eastAsia" w:ascii="方正黑体_GBK" w:hAnsi="Times New Roman" w:cs="Times New Roman"/>
        </w:rPr>
        <w:t>第三章　事故应急处置</w:t>
      </w:r>
    </w:p>
    <w:p w14:paraId="6E1FB8F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国务院电力监管机构依照《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突发事件应对法》和《国家突发公共事件总体应急预案》，组织编制国家处置电网大面积停电事件应急预案，报国务院批准。</w:t>
      </w:r>
    </w:p>
    <w:p w14:paraId="0C300BA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有关地方人民政府应当依照法律、行政法规和国家处置电网大面积停电事件应急预案，组织制定本行政区域处置电网大面积停电事件应急预案。</w:t>
      </w:r>
    </w:p>
    <w:p w14:paraId="51D2997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处置电网大面积停电事件应急预案应当对应急组织指挥体系及职责，应急处置的各项措施，以及人员、资金、物资、技术等应急保障作出具体规定。</w:t>
      </w:r>
    </w:p>
    <w:p w14:paraId="5327CEA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电力企业应当按照国家有关规定，制定本企业事故应急预案。</w:t>
      </w:r>
    </w:p>
    <w:p w14:paraId="6B6A29B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电力监管机构应当指导电力企业加强电力应急救援队伍建设，完善应急物资储备制度。</w:t>
      </w:r>
    </w:p>
    <w:p w14:paraId="2F7BADF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事故发生后，有关电力企业应当立即采取相应的紧急处置措施，控制事故范围，防止发生电网系统性崩溃和瓦解；事故危及人身和设备安全的，发电厂、变电站运行值班人员可以按照有关规定，立即采取停运发电机组和输变电设备等紧急处置措施。</w:t>
      </w:r>
    </w:p>
    <w:p w14:paraId="7FBC597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事故造成电力设备、设施损坏的，有关电力企业应当立即组织抢修。</w:t>
      </w:r>
    </w:p>
    <w:p w14:paraId="7F5D9D7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根据事故的具体情况，电力调度机构可以发布开启或者关停发电机组、调整发电机组有功和无功负荷、调整电网运行方式、调整供电调度计划等电力调度命令，发电企业、电力用户应当执行。</w:t>
      </w:r>
    </w:p>
    <w:p w14:paraId="71F7765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事故可能导致破坏电力系统稳定和电网大面积停电的，电力调度机构有权决定采取拉限负荷、解列电网、解列发电机组等必要措施。</w:t>
      </w:r>
    </w:p>
    <w:p w14:paraId="759E386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事故造成电网大面积停电的，国务院电力监管机构和国务院其他有关部门、有关地方人民政府、电力企业应当按照国家有关规定，启动相应的应急预案，成立应急指挥机构，尽快恢复电网运行和电力供应，防止各种次生灾害的发生。</w:t>
      </w:r>
    </w:p>
    <w:p w14:paraId="458A7E2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事故造成电网大面积停电的，有关地方人民政府及有关部门应当立即组织开展下列应急处置工作：</w:t>
      </w:r>
    </w:p>
    <w:p w14:paraId="572C00F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(一)加强对停电地区关系国计民生、国家安全和公共安全的重点单位的安全保卫，防范破坏社会秩序的行为，维护社会稳定；</w:t>
      </w:r>
    </w:p>
    <w:p w14:paraId="7240BB8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(二)及时排除因停电发生的各种险情；</w:t>
      </w:r>
    </w:p>
    <w:p w14:paraId="4B91366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(三)事故造成重大人员伤亡或者需要紧急转移、安置受困人员的，及时组织实施救治、转移、安置工作；</w:t>
      </w:r>
    </w:p>
    <w:p w14:paraId="0613A29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(四)加强停电地区道路交通指挥和疏导，做好铁路、民航运输以及通信保障工作；</w:t>
      </w:r>
    </w:p>
    <w:p w14:paraId="548CF02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(五)组织应急物资的紧急生产和调用，保证电网恢复运行所需物资和居民基本生活资料的供给。</w:t>
      </w:r>
    </w:p>
    <w:p w14:paraId="5056C78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事故造成重要电力用户供电中断的，重要电力用户应当按照有关技术要求迅速启动自备应急电源；启动自备应急电源无效的，电网企业应当提供必要的支援。</w:t>
      </w:r>
    </w:p>
    <w:p w14:paraId="0D4A851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事故造成地铁、机场、高层建筑、商场、影剧院、体育场馆等人员聚集场所停电的，应当迅速启用应急照明，组织人员有序疏散。</w:t>
      </w:r>
    </w:p>
    <w:p w14:paraId="41BE6EA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恢复电网运行和电力供应，应当优先保证重要电厂厂用电源、重要输变电设备、电力主干网架的恢复，优先恢复重要电力用户、重要城市、重点地区的电力供应。</w:t>
      </w:r>
    </w:p>
    <w:p w14:paraId="3BF26EA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事故应急指挥机构或者电力监管机构应当按照有关规定，统一、准确、及时发布有关事故影响范围、处置工作进度、预计恢复供电时间等信息。</w:t>
      </w:r>
    </w:p>
    <w:p w14:paraId="488A1DCE">
      <w:pPr>
        <w:pStyle w:val="2"/>
        <w:rPr>
          <w:rFonts w:ascii="方正黑体_GBK"/>
        </w:rPr>
      </w:pPr>
      <w:r>
        <w:rPr>
          <w:rFonts w:hint="eastAsia" w:ascii="方正黑体_GBK" w:hAnsi="Times New Roman" w:cs="Times New Roman"/>
        </w:rPr>
        <w:t>第四章　事故调查处理</w:t>
      </w:r>
    </w:p>
    <w:p w14:paraId="1E0CE63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特别重大事故由国务院或者国务院授权的部门组织事故调查组进行调查。</w:t>
      </w:r>
    </w:p>
    <w:p w14:paraId="25523E7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重大事故由国务院电力监管机构组织事故调查组进行调查。</w:t>
      </w:r>
    </w:p>
    <w:p w14:paraId="39269D0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较大事故、一般事故由事故发生地电力监管机构组织事故调查组进行调查。国务院电力监管机构认为必要的，可以组织事故调查组对较大事故进行调查。</w:t>
      </w:r>
    </w:p>
    <w:p w14:paraId="284DA0B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未造成供电用户停电的一般事故，事故发生地电力监管机构也可以委托事故发生单位调查处理。</w:t>
      </w:r>
    </w:p>
    <w:p w14:paraId="397E8F3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根据事故的具体情况，事故调查组由电力监管机构、有关地方人民政府、安全生产监督管理部门、负有安全生产监督管理职责的有关部门派人组成；有关人员涉嫌失职、渎职或者涉嫌犯罪的，应当邀请监察机关、公安机关、人民检察院派人参加。</w:t>
      </w:r>
    </w:p>
    <w:p w14:paraId="0C2420D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根据事故调查工作的需要，事故调查组可以聘请有关专家协助调查。</w:t>
      </w:r>
    </w:p>
    <w:p w14:paraId="02A6DA0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事故调查组组长由组织事故调查组的机关指定。</w:t>
      </w:r>
    </w:p>
    <w:p w14:paraId="6150FD8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事故调查组应当按照国家有关规定开展事故调查，并在下列期限内向组织事故调查组的机关提交事故调查报告：</w:t>
      </w:r>
    </w:p>
    <w:p w14:paraId="3677CCB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(一)特别重大事故和重大事故的调查期限为60日；特殊情况下，经组织事故调查组的机关批准，可以适当延长，但延长的期限不得超过60日。</w:t>
      </w:r>
    </w:p>
    <w:p w14:paraId="3895A3C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(二)较大事故和一般事故的调查期限为45日；特殊情况下，经组织事故调查组的机关批准，可以适当延长，但延长的期限不得超过45日。</w:t>
      </w:r>
    </w:p>
    <w:p w14:paraId="7E21580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事故调查期限自事故发生之日起计算。</w:t>
      </w:r>
    </w:p>
    <w:p w14:paraId="32796DE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事故调查报告应当包括下列内容：</w:t>
      </w:r>
    </w:p>
    <w:p w14:paraId="7DFA392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(一)事故发生单位概况和事故发生经过；</w:t>
      </w:r>
    </w:p>
    <w:p w14:paraId="6E43240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(二)事故造成的直接经济损失和事故对电网运行、电力(热力)正常供应的影响情况；</w:t>
      </w:r>
    </w:p>
    <w:p w14:paraId="4089B18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(三)事故发生的原因和事故性质；</w:t>
      </w:r>
    </w:p>
    <w:p w14:paraId="520FC2F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(四)事故应急处置和恢复电力生产、电网运行的情况；</w:t>
      </w:r>
    </w:p>
    <w:p w14:paraId="4BF4A3A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(五)事故责任认定和对事故责任单位、责任人的处理建议；</w:t>
      </w:r>
    </w:p>
    <w:p w14:paraId="5B8EB5F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(六)事故防范和整改措施。</w:t>
      </w:r>
    </w:p>
    <w:p w14:paraId="4B9E0AF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事故调查报告应当附具有关证据材料和技术分析报告。事故调查组成员应当在事故调查报告上签字。</w:t>
      </w:r>
    </w:p>
    <w:p w14:paraId="2A3582B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事故调查报告报经组织事故调查组的机关同意，事故调查工作即告结束；委托事故发生单位调查的一般事故，事故调查报告应当报经事故发生地电力监管机构同意。</w:t>
      </w:r>
    </w:p>
    <w:p w14:paraId="020D747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有关机关应当依法对事故发生单位和有关人员进行处罚，对负有事故责任的国家工作人员给予处分。</w:t>
      </w:r>
    </w:p>
    <w:p w14:paraId="323DCB1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事故发生单位应当对本单位负有事故责任的人员进行处理。</w:t>
      </w:r>
    </w:p>
    <w:p w14:paraId="10F7C23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事故发生单位和有关人员应当认真吸取事故教训，落实事故防范和整改措施，防止事故再次发生。</w:t>
      </w:r>
    </w:p>
    <w:p w14:paraId="696E11F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电力监管机构、安全生产监督管理部门和负有安全生产监督管理职责的有关部门应当对事故发生单位和有关人员落实事故防范和整改措施的情况进行监督检查。</w:t>
      </w:r>
    </w:p>
    <w:p w14:paraId="7C22A826">
      <w:pPr>
        <w:pStyle w:val="2"/>
        <w:rPr>
          <w:rFonts w:ascii="方正黑体_GBK"/>
        </w:rPr>
      </w:pPr>
      <w:r>
        <w:rPr>
          <w:rFonts w:hint="eastAsia" w:ascii="方正黑体_GBK" w:hAnsi="Times New Roman" w:cs="Times New Roman"/>
        </w:rPr>
        <w:t>第五章　法律责任</w:t>
      </w:r>
    </w:p>
    <w:p w14:paraId="5773D8B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发生事故的电力企业主要负责人有下列行为之一的，由电力监管机构处其上一年年收入40%至80%的罚款；属于国家工作人员的，并依法给予处分；构成犯罪的，依法追究刑事责任：</w:t>
      </w:r>
    </w:p>
    <w:p w14:paraId="73E9455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(一)不立即组织事故抢救的；</w:t>
      </w:r>
    </w:p>
    <w:p w14:paraId="25FADB0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(二)迟报或者漏报事故的；</w:t>
      </w:r>
    </w:p>
    <w:p w14:paraId="180B5F6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(三)在事故调查处理期间擅离职守的。</w:t>
      </w:r>
    </w:p>
    <w:p w14:paraId="56E30FB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发生事故的电力企业及其有关人员有下列行为之一的，由电力监管机构对电力企业处100万元以上500万元以下的罚款；对主要负责人、直接负责的主管人员和其他直接责任人员处其上一年年收入60%至100%的罚款，属于国家工作人员的，并依法给予处分；构成违反治安管理行为的，由公安机关依法给予治安管理处罚；构成犯罪的，依法追究刑事责任：</w:t>
      </w:r>
    </w:p>
    <w:p w14:paraId="610EC64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(一)谎报或者瞒报事故的；</w:t>
      </w:r>
    </w:p>
    <w:p w14:paraId="7912CFA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(二)伪造或者故意破坏事故现场的；</w:t>
      </w:r>
    </w:p>
    <w:p w14:paraId="185D9EA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(三)转移、隐匿资金、财产，或者销毁有关证据、资料的；</w:t>
      </w:r>
    </w:p>
    <w:p w14:paraId="68CFD9D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(四)拒绝接受调查或者拒绝提供有关情况和资料的；</w:t>
      </w:r>
    </w:p>
    <w:p w14:paraId="2D14292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(五)在事故调查中作伪证或者指使他人作伪证的；</w:t>
      </w:r>
    </w:p>
    <w:p w14:paraId="4773578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(六)事故发生后逃匿的。</w:t>
      </w:r>
    </w:p>
    <w:p w14:paraId="3648F95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电力企业对事故发生负有责任的，由电力监管机构依照下列规定处以罚款：</w:t>
      </w:r>
    </w:p>
    <w:p w14:paraId="1A66007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(一)发生一般事故的，处10万元以上20万元以下的罚款；</w:t>
      </w:r>
    </w:p>
    <w:p w14:paraId="0EF65F3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(二)发生较大事故的，处20万元以上50万元以下的罚款；</w:t>
      </w:r>
    </w:p>
    <w:p w14:paraId="72D445C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(三)发生重大事故的，处50万元以上200万元以下的罚款；</w:t>
      </w:r>
    </w:p>
    <w:p w14:paraId="255FC60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(四)发生特别重大事故的，处200万元以上500万元以下的罚款。</w:t>
      </w:r>
    </w:p>
    <w:p w14:paraId="7D7524F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电力企业主要负责人未依法履行安全生产管理职责，导致事故发生的，由电力监管机构依照下列规定处以罚款；属于国家工作人员的，并依法给予处分；构成犯罪的，依法追究刑事责任：</w:t>
      </w:r>
    </w:p>
    <w:p w14:paraId="02CD7EC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(一)发生一般事故的，处其上一年年收入30%的罚款；</w:t>
      </w:r>
    </w:p>
    <w:p w14:paraId="188BA31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(二)发生较大事故的，处其上一年年收入40%的罚款；</w:t>
      </w:r>
    </w:p>
    <w:p w14:paraId="5AB304C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(三)发生重大事故的，处其上一年年收入60%的罚款；</w:t>
      </w:r>
    </w:p>
    <w:p w14:paraId="6957DF4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(四)发生特别重大事故的，处其上一年年收入80%的罚款。</w:t>
      </w:r>
    </w:p>
    <w:p w14:paraId="60CB9ED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电力企业主要负责人依照本条例第二十七条、第二十八条、第三十条规定受到撤职处分或者刑事处罚的，自受处分之日或者刑罚执行完毕之日起5年内，不得担任任何生产经营单位主要负责人。</w:t>
      </w:r>
    </w:p>
    <w:p w14:paraId="28BC6E2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电力监管机构、有关地方人民政府以及其他负有安全生产监督管理职责的有关部门有下列行为之一的，对直接负责的主管人员和其他直接责任人员依法给予处分；直接负责的主管人员和其他直接责任人员构成犯罪的，依法追究刑事责任：</w:t>
      </w:r>
    </w:p>
    <w:p w14:paraId="6630E46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(一)不立即组织事故抢救的；</w:t>
      </w:r>
    </w:p>
    <w:p w14:paraId="29CD2E6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(二)迟报、漏报或者瞒报、谎报事故的；</w:t>
      </w:r>
    </w:p>
    <w:p w14:paraId="09DC8CB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(三)阻碍、干涉事故调查工作的；</w:t>
      </w:r>
    </w:p>
    <w:p w14:paraId="7AC6BFA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(四)在事故调查中作伪证或者指使他人作伪证的。</w:t>
      </w:r>
    </w:p>
    <w:p w14:paraId="4EB02CC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参与事故调查的人员在事故调查中有下列行为之一的，依法给予处分；构成犯罪的，依法追究刑事责任：</w:t>
      </w:r>
    </w:p>
    <w:p w14:paraId="60FB271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(一)对事故调查工作不负责任，致使事故调查工作有重大疏漏的；</w:t>
      </w:r>
    </w:p>
    <w:p w14:paraId="0F35C9E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(二)包庇、袒护负有事故责任的人员或者借机打击报复的。</w:t>
      </w:r>
    </w:p>
    <w:p w14:paraId="2072745C">
      <w:pPr>
        <w:pStyle w:val="2"/>
        <w:rPr>
          <w:rFonts w:ascii="方正黑体_GBK"/>
        </w:rPr>
      </w:pPr>
      <w:r>
        <w:rPr>
          <w:rFonts w:hint="eastAsia" w:ascii="方正黑体_GBK" w:hAnsi="Times New Roman" w:cs="Times New Roman"/>
        </w:rPr>
        <w:t>第六章　附则</w:t>
      </w:r>
    </w:p>
    <w:p w14:paraId="358F48A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发生本条例规定的事故，同时造成人员伤亡或者直接经济损失，依照本条例确定的事故等级与依照《生产安全事故报告和调查处理条例》确定的事故等级不相同的，按事故等级较高者确定事故等级，依照本条例的规定调查处理；事故造成人员伤亡，构成《生产安全事故报告和调查处理条例》规定的重大事故或者特别重大事故的，依照《生产安全事故报告和调查处理条例》的规定调查处理。</w:t>
      </w:r>
    </w:p>
    <w:p w14:paraId="244AD7D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生产或者电网运行过程中发生发电设备或者输变电设备损坏，造成直接经济损失的事故，未影响电力系统安全稳定运行以及电力正常供应的，由电力监管机构依照《生产安全事故报告和调查处理条例》的规定组成事故调查组对重大事故、较大事故、一般事故进行调查处理。</w:t>
      </w:r>
    </w:p>
    <w:p w14:paraId="3DE877D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本条例对事故报告和调查处理未作规定的，适用《生产安全事故报告和调查处理条例》的规定。</w:t>
      </w:r>
    </w:p>
    <w:p w14:paraId="4FE1AE9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核电厂核事故的应急处置和调查处理，依照《核电厂核事故应急管理条例》的规定执行。</w:t>
      </w:r>
    </w:p>
    <w:p w14:paraId="655064EC">
      <w:pPr>
        <w:pStyle w:val="4"/>
        <w:ind w:firstLine="640" w:firstLineChars="200"/>
        <w:rPr>
          <w:rFonts w:hint="eastAsia" w:ascii="Times New Roman" w:hAnsi="Times New Roman" w:eastAsia="仿宋_GB2312" w:cs="Times New Roman"/>
          <w:sz w:val="32"/>
          <w:szCs w:val="32"/>
          <w:lang w:eastAsia="zh-CN"/>
        </w:rPr>
        <w:sectPr>
          <w:footerReference r:id="rId3" w:type="default"/>
          <w:pgSz w:w="11906" w:h="16838"/>
          <w:pgMar w:top="1440" w:right="1800" w:bottom="1440" w:left="1800" w:header="851" w:footer="992" w:gutter="0"/>
          <w:pgNumType w:fmt="numberInDash"/>
          <w:cols w:space="425" w:num="1"/>
          <w:docGrid w:type="lines" w:linePitch="312" w:charSpace="0"/>
        </w:sect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本条例自2011年9月1日起施行。</w:t>
      </w:r>
    </w:p>
    <w:p w14:paraId="62AB13BD">
      <w:pPr>
        <w:pStyle w:val="4"/>
        <w:rPr>
          <w:rFonts w:ascii="Times New Roman" w:hAnsi="Times New Roman" w:eastAsia="黑体" w:cs="Times New Roman"/>
          <w:sz w:val="32"/>
          <w:szCs w:val="32"/>
        </w:rPr>
      </w:pPr>
      <w:r>
        <w:rPr>
          <w:rFonts w:ascii="Times New Roman" w:hAnsi="Times New Roman" w:eastAsia="黑体" w:cs="Times New Roman"/>
          <w:sz w:val="32"/>
          <w:szCs w:val="32"/>
        </w:rPr>
        <w:t>附：</w:t>
      </w:r>
    </w:p>
    <w:p w14:paraId="24DEA0F7">
      <w:pPr>
        <w:pStyle w:val="4"/>
        <w:jc w:val="center"/>
        <w:rPr>
          <w:rFonts w:ascii="Times New Roman" w:hAnsi="Times New Roman" w:eastAsia="黑体" w:cs="Times New Roman"/>
          <w:sz w:val="32"/>
          <w:szCs w:val="32"/>
        </w:rPr>
      </w:pPr>
      <w:r>
        <w:rPr>
          <w:rFonts w:ascii="Times New Roman" w:hAnsi="Times New Roman" w:eastAsia="黑体" w:cs="Times New Roman"/>
          <w:sz w:val="32"/>
          <w:szCs w:val="32"/>
        </w:rPr>
        <w:t>电力安全事故等级划分标准</w:t>
      </w:r>
    </w:p>
    <w:tbl>
      <w:tblPr>
        <w:tblStyle w:val="8"/>
        <w:tblW w:w="14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4329"/>
        <w:gridCol w:w="2910"/>
        <w:gridCol w:w="2340"/>
        <w:gridCol w:w="1860"/>
        <w:gridCol w:w="1877"/>
      </w:tblGrid>
      <w:tr w14:paraId="3F87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340" w:type="dxa"/>
          </w:tcPr>
          <w:p w14:paraId="719F8CAA">
            <w:pPr>
              <w:pStyle w:val="4"/>
              <w:snapToGrid w:val="0"/>
              <w:spacing w:line="240" w:lineRule="auto"/>
              <w:rPr>
                <w:rFonts w:ascii="Times New Roman" w:hAnsi="Times New Roman" w:cs="Times New Roman"/>
              </w:rPr>
            </w:pPr>
            <w:r>
              <w:rPr>
                <w:sz w:val="32"/>
              </w:rPr>
              <w:pict>
                <v:line id="直接连接符 6" o:spid="_x0000_s2051" o:spt="20" style="position:absolute;left:0pt;flip:x y;margin-left:-5.15pt;margin-top:-0.15pt;height:62.45pt;width:66.5pt;z-index:251661312;mso-width-relative:page;mso-height-relative:page;" filled="f" stroked="t" coordsize="21600,21600">
                  <v:path arrowok="t"/>
                  <v:fill on="f" focussize="0,0"/>
                  <v:stroke weight="0.5pt" color="#000000" miterlimit="8" joinstyle="miter"/>
                  <v:imagedata o:title=""/>
                  <o:lock v:ext="edit" aspectratio="f"/>
                </v:line>
              </w:pict>
            </w:r>
            <w:r>
              <w:rPr>
                <w:sz w:val="32"/>
              </w:rPr>
              <w:pict>
                <v:shape id="文本框 1" o:spid="_x0000_s2052" o:spt="202" type="#_x0000_t202" style="position:absolute;left:0pt;flip:y;margin-left:25.05pt;margin-top:2.8pt;height:15.95pt;width:33.35pt;z-index:251659264;mso-width-relative:page;mso-height-relative:page;" filled="f" stroked="f" coordsize="21600,21600" o:gfxdata="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icaGZNcAAAAIAQAADwAA&#10;AAAAAAABACAAAAAiAAAAZHJzL2Rvd25yZXYueG1sUEsBAhQAFAAAAAgAh07iQIvwNXGlAQAALQMA&#10;AA4AAAAAAAAAAQAgAAAAJgEAAGRycy9lMm9Eb2MueG1sUEsFBgAAAAAGAAYAWQEAAD0FAAAAAA==&#10;">
                  <v:path/>
                  <v:fill on="f" focussize="0,0"/>
                  <v:stroke on="f"/>
                  <v:imagedata o:title=""/>
                  <o:lock v:ext="edit" aspectratio="f"/>
                  <v:textbox inset="0mm,0mm,0mm,0mm">
                    <w:txbxContent>
                      <w:p w14:paraId="73420443">
                        <w:r>
                          <w:rPr>
                            <w:rFonts w:ascii="Times New Roman" w:hAnsi="Times New Roman" w:eastAsia="黑体" w:cs="Times New Roman"/>
                          </w:rPr>
                          <w:t>判定项</w:t>
                        </w:r>
                      </w:p>
                    </w:txbxContent>
                  </v:textbox>
                </v:shape>
              </w:pict>
            </w:r>
          </w:p>
          <w:p w14:paraId="7C19C98A">
            <w:pPr>
              <w:pStyle w:val="4"/>
              <w:rPr>
                <w:rFonts w:ascii="Times New Roman" w:hAnsi="Times New Roman" w:cs="Times New Roman"/>
              </w:rPr>
            </w:pPr>
            <w:r>
              <w:rPr>
                <w:sz w:val="32"/>
              </w:rPr>
              <w:pict>
                <v:shape id="文本框 3" o:spid="_x0000_s2053" o:spt="202" type="#_x0000_t202" style="position:absolute;left:0pt;flip:y;margin-left:-3.45pt;margin-top:32.75pt;height:15.95pt;width:44.55pt;z-index:251660288;mso-width-relative:page;mso-height-relative:page;" filled="f" stroked="f" coordsize="21600,21600" o:gfxdata="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WDfqzWAAAABgEAAA8AAAAA&#10;AAAAAQAgAAAAIgAAAGRycy9kb3ducmV2LnhtbFBLAQIUABQAAAAIAIdO4kC0AkxbpAEAAC0DAAAO&#10;AAAAAAAAAAEAIAAAACUBAABkcnMvZTJvRG9jLnhtbFBLBQYAAAAABgAGAFkBAAA7BQAAAAA=&#10;">
                  <v:path/>
                  <v:fill on="f" focussize="0,0"/>
                  <v:stroke on="f"/>
                  <v:imagedata o:title=""/>
                  <o:lock v:ext="edit" aspectratio="f"/>
                  <v:textbox inset="0mm,0mm,0mm,0mm">
                    <w:txbxContent>
                      <w:p w14:paraId="2F1B8138">
                        <w:pPr>
                          <w:pStyle w:val="4"/>
                          <w:rPr>
                            <w:rFonts w:ascii="Times New Roman" w:hAnsi="Times New Roman" w:eastAsia="黑体" w:cs="Times New Roman"/>
                          </w:rPr>
                        </w:pPr>
                        <w:r>
                          <w:rPr>
                            <w:rFonts w:ascii="Times New Roman" w:hAnsi="Times New Roman" w:eastAsia="黑体" w:cs="Times New Roman"/>
                          </w:rPr>
                          <w:t>事故等级</w:t>
                        </w:r>
                      </w:p>
                      <w:p w14:paraId="6EDDFDC5"/>
                    </w:txbxContent>
                  </v:textbox>
                </v:shape>
              </w:pict>
            </w:r>
          </w:p>
        </w:tc>
        <w:tc>
          <w:tcPr>
            <w:tcW w:w="4329" w:type="dxa"/>
          </w:tcPr>
          <w:p w14:paraId="09241EA6">
            <w:pPr>
              <w:pStyle w:val="4"/>
              <w:rPr>
                <w:rFonts w:ascii="Times New Roman" w:hAnsi="Times New Roman" w:cs="Times New Roman"/>
              </w:rPr>
            </w:pPr>
            <w:r>
              <w:rPr>
                <w:rFonts w:ascii="Times New Roman" w:hAnsi="Times New Roman" w:eastAsia="黑体" w:cs="Times New Roman"/>
              </w:rPr>
              <w:t>造成电网减供负荷的比例</w:t>
            </w:r>
          </w:p>
        </w:tc>
        <w:tc>
          <w:tcPr>
            <w:tcW w:w="2910" w:type="dxa"/>
          </w:tcPr>
          <w:p w14:paraId="0F38AF1B">
            <w:pPr>
              <w:pStyle w:val="4"/>
              <w:rPr>
                <w:rFonts w:ascii="Times New Roman" w:hAnsi="Times New Roman" w:cs="Times New Roman"/>
              </w:rPr>
            </w:pPr>
            <w:r>
              <w:rPr>
                <w:rFonts w:ascii="Times New Roman" w:hAnsi="Times New Roman" w:eastAsia="黑体" w:cs="Times New Roman"/>
              </w:rPr>
              <w:t>造成城市供电用户停电的比例</w:t>
            </w:r>
          </w:p>
        </w:tc>
        <w:tc>
          <w:tcPr>
            <w:tcW w:w="2340" w:type="dxa"/>
          </w:tcPr>
          <w:p w14:paraId="023A002C">
            <w:pPr>
              <w:pStyle w:val="4"/>
              <w:rPr>
                <w:rFonts w:ascii="Times New Roman" w:hAnsi="Times New Roman" w:cs="Times New Roman"/>
              </w:rPr>
            </w:pPr>
            <w:r>
              <w:rPr>
                <w:rFonts w:ascii="Times New Roman" w:hAnsi="Times New Roman" w:eastAsia="黑体" w:cs="Times New Roman"/>
              </w:rPr>
              <w:t>发电厂或者变电站因安全故障造成全厂(站)对外停电的影响和持续时间</w:t>
            </w:r>
          </w:p>
        </w:tc>
        <w:tc>
          <w:tcPr>
            <w:tcW w:w="1860" w:type="dxa"/>
          </w:tcPr>
          <w:p w14:paraId="5A628CBE">
            <w:pPr>
              <w:pStyle w:val="4"/>
              <w:rPr>
                <w:rFonts w:ascii="Times New Roman" w:hAnsi="Times New Roman" w:cs="Times New Roman"/>
              </w:rPr>
            </w:pPr>
            <w:r>
              <w:rPr>
                <w:rFonts w:ascii="Times New Roman" w:hAnsi="Times New Roman" w:eastAsia="黑体" w:cs="Times New Roman"/>
              </w:rPr>
              <w:t>发电机组因安全故障停运的时间和后果</w:t>
            </w:r>
          </w:p>
        </w:tc>
        <w:tc>
          <w:tcPr>
            <w:tcW w:w="1877" w:type="dxa"/>
          </w:tcPr>
          <w:p w14:paraId="2CFFFFB5">
            <w:pPr>
              <w:pStyle w:val="4"/>
              <w:rPr>
                <w:rFonts w:ascii="Times New Roman" w:hAnsi="Times New Roman" w:cs="Times New Roman"/>
              </w:rPr>
            </w:pPr>
            <w:r>
              <w:rPr>
                <w:rFonts w:ascii="Times New Roman" w:hAnsi="Times New Roman" w:eastAsia="黑体" w:cs="Times New Roman"/>
              </w:rPr>
              <w:t>供热机组对外停止供热的时间</w:t>
            </w:r>
          </w:p>
        </w:tc>
      </w:tr>
      <w:tr w14:paraId="4DFBB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40" w:type="dxa"/>
            <w:vAlign w:val="center"/>
          </w:tcPr>
          <w:p w14:paraId="6C165CAF">
            <w:pPr>
              <w:pStyle w:val="4"/>
              <w:jc w:val="center"/>
              <w:rPr>
                <w:rFonts w:hint="eastAsia" w:ascii="Times New Roman" w:hAnsi="Times New Roman" w:eastAsia="黑体" w:cs="Times New Roman"/>
                <w:lang w:eastAsia="zh-CN"/>
              </w:rPr>
            </w:pPr>
            <w:r>
              <w:rPr>
                <w:rFonts w:hint="eastAsia" w:ascii="Times New Roman" w:hAnsi="Times New Roman" w:eastAsia="黑体" w:cs="Times New Roman"/>
                <w:lang w:eastAsia="zh-CN"/>
              </w:rPr>
              <w:t>特</w:t>
            </w:r>
          </w:p>
          <w:p w14:paraId="2E29F32C">
            <w:pPr>
              <w:pStyle w:val="4"/>
              <w:jc w:val="center"/>
              <w:rPr>
                <w:rFonts w:ascii="Times New Roman" w:hAnsi="Times New Roman" w:eastAsia="黑体" w:cs="Times New Roman"/>
              </w:rPr>
            </w:pPr>
            <w:r>
              <w:rPr>
                <w:rFonts w:ascii="Times New Roman" w:hAnsi="Times New Roman" w:eastAsia="黑体" w:cs="Times New Roman"/>
              </w:rPr>
              <w:t>别</w:t>
            </w:r>
          </w:p>
          <w:p w14:paraId="14FF1D90">
            <w:pPr>
              <w:pStyle w:val="4"/>
              <w:jc w:val="center"/>
              <w:rPr>
                <w:rFonts w:ascii="Times New Roman" w:hAnsi="Times New Roman" w:eastAsia="黑体" w:cs="Times New Roman"/>
              </w:rPr>
            </w:pPr>
            <w:r>
              <w:rPr>
                <w:rFonts w:ascii="Times New Roman" w:hAnsi="Times New Roman" w:eastAsia="黑体" w:cs="Times New Roman"/>
              </w:rPr>
              <w:t>重</w:t>
            </w:r>
          </w:p>
          <w:p w14:paraId="07914F1C">
            <w:pPr>
              <w:pStyle w:val="4"/>
              <w:jc w:val="center"/>
              <w:rPr>
                <w:rFonts w:ascii="Times New Roman" w:hAnsi="Times New Roman" w:eastAsia="黑体" w:cs="Times New Roman"/>
              </w:rPr>
            </w:pPr>
            <w:r>
              <w:rPr>
                <w:rFonts w:ascii="Times New Roman" w:hAnsi="Times New Roman" w:eastAsia="黑体" w:cs="Times New Roman"/>
              </w:rPr>
              <w:t>大</w:t>
            </w:r>
          </w:p>
          <w:p w14:paraId="5F2C40B7">
            <w:pPr>
              <w:pStyle w:val="4"/>
              <w:jc w:val="center"/>
              <w:rPr>
                <w:rFonts w:ascii="Times New Roman" w:hAnsi="Times New Roman" w:eastAsia="黑体" w:cs="Times New Roman"/>
              </w:rPr>
            </w:pPr>
            <w:r>
              <w:rPr>
                <w:rFonts w:ascii="Times New Roman" w:hAnsi="Times New Roman" w:eastAsia="黑体" w:cs="Times New Roman"/>
              </w:rPr>
              <w:t>事</w:t>
            </w:r>
          </w:p>
          <w:p w14:paraId="49BD44C1">
            <w:pPr>
              <w:pStyle w:val="4"/>
              <w:jc w:val="center"/>
              <w:rPr>
                <w:rFonts w:ascii="Times New Roman" w:hAnsi="Times New Roman" w:cs="Times New Roman"/>
              </w:rPr>
            </w:pPr>
            <w:r>
              <w:rPr>
                <w:rFonts w:ascii="Times New Roman" w:hAnsi="Times New Roman" w:eastAsia="黑体" w:cs="Times New Roman"/>
              </w:rPr>
              <w:t>故</w:t>
            </w:r>
          </w:p>
        </w:tc>
        <w:tc>
          <w:tcPr>
            <w:tcW w:w="4329" w:type="dxa"/>
          </w:tcPr>
          <w:p w14:paraId="3F63B7A5">
            <w:pPr>
              <w:pStyle w:val="4"/>
              <w:ind w:firstLine="420" w:firstLineChars="200"/>
              <w:rPr>
                <w:rFonts w:ascii="Times New Roman" w:hAnsi="Times New Roman" w:eastAsia="仿宋_GB2312" w:cs="Times New Roman"/>
              </w:rPr>
            </w:pPr>
            <w:r>
              <w:rPr>
                <w:rFonts w:ascii="Times New Roman" w:hAnsi="Times New Roman" w:eastAsia="仿宋_GB2312" w:cs="Times New Roman"/>
              </w:rPr>
              <w:t>区域性电网减供负荷30%以上</w:t>
            </w:r>
          </w:p>
          <w:p w14:paraId="11BC707D">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电网负荷20000兆瓦以上的省、自治区电网，减供负荷30%以上</w:t>
            </w:r>
          </w:p>
          <w:p w14:paraId="2AB46D80">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电网负荷5000兆瓦以上20000兆瓦以下的省、自治区电网，减供负荷40%以上</w:t>
            </w:r>
          </w:p>
          <w:p w14:paraId="05B8DACB">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直辖市电网减供负荷50%以上</w:t>
            </w:r>
          </w:p>
          <w:p w14:paraId="69F5159A">
            <w:pPr>
              <w:pStyle w:val="4"/>
              <w:ind w:firstLine="210" w:firstLineChars="100"/>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电网负荷2000兆瓦以上的省、自治区人民政府所在地城市电网减供负荷60%以上</w:t>
            </w:r>
          </w:p>
        </w:tc>
        <w:tc>
          <w:tcPr>
            <w:tcW w:w="2910" w:type="dxa"/>
          </w:tcPr>
          <w:p w14:paraId="095DE82C">
            <w:pPr>
              <w:pStyle w:val="4"/>
              <w:rPr>
                <w:rFonts w:ascii="Times New Roman" w:hAnsi="Times New Roman" w:eastAsia="仿宋_GB2312"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直辖市60%以上供</w:t>
            </w:r>
            <w:r>
              <w:rPr>
                <w:rFonts w:hint="eastAsia" w:ascii="Times New Roman" w:hAnsi="Times New Roman" w:eastAsia="仿宋_GB2312" w:cs="Times New Roman"/>
                <w:lang w:eastAsia="zh-CN"/>
              </w:rPr>
              <w:t>　　</w:t>
            </w:r>
            <w:r>
              <w:rPr>
                <w:rFonts w:ascii="Times New Roman" w:hAnsi="Times New Roman" w:eastAsia="仿宋_GB2312" w:cs="Times New Roman"/>
              </w:rPr>
              <w:t>电用户停电</w:t>
            </w:r>
          </w:p>
          <w:p w14:paraId="019304A2">
            <w:pPr>
              <w:pStyle w:val="4"/>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电网负荷2000兆瓦以上的省、自治区人民政府所在地城市70%以上供电用户停电</w:t>
            </w:r>
          </w:p>
        </w:tc>
        <w:tc>
          <w:tcPr>
            <w:tcW w:w="2340" w:type="dxa"/>
          </w:tcPr>
          <w:p w14:paraId="0E3C0682">
            <w:pPr>
              <w:pStyle w:val="4"/>
              <w:rPr>
                <w:rFonts w:ascii="Times New Roman" w:hAnsi="Times New Roman" w:cs="Times New Roman"/>
              </w:rPr>
            </w:pPr>
          </w:p>
          <w:p w14:paraId="5A01E5AB">
            <w:pPr>
              <w:pStyle w:val="4"/>
              <w:rPr>
                <w:rFonts w:ascii="Times New Roman" w:hAnsi="Times New Roman" w:cs="Times New Roman"/>
              </w:rPr>
            </w:pPr>
          </w:p>
          <w:p w14:paraId="066A6AA8">
            <w:pPr>
              <w:pStyle w:val="4"/>
              <w:rPr>
                <w:rFonts w:ascii="Times New Roman" w:hAnsi="Times New Roman" w:cs="Times New Roman"/>
              </w:rPr>
            </w:pPr>
          </w:p>
          <w:p w14:paraId="46C05622">
            <w:pPr>
              <w:pStyle w:val="4"/>
              <w:rPr>
                <w:rFonts w:ascii="Times New Roman" w:hAnsi="Times New Roman" w:cs="Times New Roman"/>
              </w:rPr>
            </w:pPr>
          </w:p>
        </w:tc>
        <w:tc>
          <w:tcPr>
            <w:tcW w:w="1860" w:type="dxa"/>
          </w:tcPr>
          <w:p w14:paraId="234F8035">
            <w:pPr>
              <w:pStyle w:val="4"/>
              <w:rPr>
                <w:rFonts w:ascii="Times New Roman" w:hAnsi="Times New Roman" w:cs="Times New Roman"/>
              </w:rPr>
            </w:pPr>
          </w:p>
        </w:tc>
        <w:tc>
          <w:tcPr>
            <w:tcW w:w="1877" w:type="dxa"/>
          </w:tcPr>
          <w:p w14:paraId="0EBBE70E">
            <w:pPr>
              <w:pStyle w:val="4"/>
              <w:rPr>
                <w:rFonts w:ascii="Times New Roman" w:hAnsi="Times New Roman" w:cs="Times New Roman"/>
              </w:rPr>
            </w:pPr>
          </w:p>
        </w:tc>
      </w:tr>
      <w:tr w14:paraId="3BF0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0" w:hRule="atLeast"/>
        </w:trPr>
        <w:tc>
          <w:tcPr>
            <w:tcW w:w="1340" w:type="dxa"/>
            <w:vAlign w:val="center"/>
          </w:tcPr>
          <w:p w14:paraId="1DCEFE6B">
            <w:pPr>
              <w:pStyle w:val="4"/>
              <w:jc w:val="center"/>
              <w:rPr>
                <w:rFonts w:ascii="Times New Roman" w:hAnsi="Times New Roman" w:eastAsia="黑体" w:cs="Times New Roman"/>
              </w:rPr>
            </w:pPr>
            <w:r>
              <w:rPr>
                <w:rFonts w:ascii="Times New Roman" w:hAnsi="Times New Roman" w:eastAsia="黑体" w:cs="Times New Roman"/>
              </w:rPr>
              <w:t>重</w:t>
            </w:r>
          </w:p>
          <w:p w14:paraId="7600A890">
            <w:pPr>
              <w:pStyle w:val="4"/>
              <w:jc w:val="center"/>
              <w:rPr>
                <w:rFonts w:ascii="Times New Roman" w:hAnsi="Times New Roman" w:eastAsia="黑体" w:cs="Times New Roman"/>
              </w:rPr>
            </w:pPr>
            <w:r>
              <w:rPr>
                <w:rFonts w:ascii="Times New Roman" w:hAnsi="Times New Roman" w:eastAsia="黑体" w:cs="Times New Roman"/>
              </w:rPr>
              <w:t>大</w:t>
            </w:r>
          </w:p>
          <w:p w14:paraId="2B5A0125">
            <w:pPr>
              <w:pStyle w:val="4"/>
              <w:jc w:val="center"/>
              <w:rPr>
                <w:rFonts w:ascii="Times New Roman" w:hAnsi="Times New Roman" w:eastAsia="黑体" w:cs="Times New Roman"/>
              </w:rPr>
            </w:pPr>
            <w:r>
              <w:rPr>
                <w:rFonts w:ascii="Times New Roman" w:hAnsi="Times New Roman" w:eastAsia="黑体" w:cs="Times New Roman"/>
              </w:rPr>
              <w:t>事</w:t>
            </w:r>
          </w:p>
          <w:p w14:paraId="03553A47">
            <w:pPr>
              <w:pStyle w:val="4"/>
              <w:jc w:val="center"/>
              <w:rPr>
                <w:rFonts w:ascii="Times New Roman" w:hAnsi="Times New Roman" w:cs="Times New Roman"/>
              </w:rPr>
            </w:pPr>
            <w:r>
              <w:rPr>
                <w:rFonts w:ascii="Times New Roman" w:hAnsi="Times New Roman" w:eastAsia="黑体" w:cs="Times New Roman"/>
              </w:rPr>
              <w:t>故</w:t>
            </w:r>
          </w:p>
        </w:tc>
        <w:tc>
          <w:tcPr>
            <w:tcW w:w="4329" w:type="dxa"/>
          </w:tcPr>
          <w:p w14:paraId="4601B066">
            <w:pPr>
              <w:pStyle w:val="4"/>
              <w:ind w:firstLine="497"/>
              <w:rPr>
                <w:rFonts w:ascii="Times New Roman" w:hAnsi="Times New Roman" w:eastAsia="仿宋_GB2312" w:cs="Times New Roman"/>
              </w:rPr>
            </w:pPr>
            <w:r>
              <w:rPr>
                <w:rFonts w:ascii="Times New Roman" w:hAnsi="Times New Roman" w:eastAsia="仿宋_GB2312" w:cs="Times New Roman"/>
              </w:rPr>
              <w:t>区域性电网减供负荷10%以上30%以下</w:t>
            </w:r>
          </w:p>
          <w:p w14:paraId="1D884A3C">
            <w:pPr>
              <w:pStyle w:val="4"/>
              <w:ind w:firstLine="497"/>
              <w:rPr>
                <w:rFonts w:ascii="Times New Roman" w:hAnsi="Times New Roman" w:eastAsia="仿宋_GB2312" w:cs="Times New Roman"/>
              </w:rPr>
            </w:pPr>
            <w:r>
              <w:rPr>
                <w:rFonts w:ascii="Times New Roman" w:hAnsi="Times New Roman" w:eastAsia="仿宋_GB2312" w:cs="Times New Roman"/>
              </w:rPr>
              <w:t>电网负荷20000兆瓦以上的省、自治区电网，减供负荷13%以上30%以下</w:t>
            </w:r>
          </w:p>
          <w:p w14:paraId="2D7A0916">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电网负荷5000兆瓦以上20000兆瓦以下的省、自治区电网，减供负荷16%以上40%以下</w:t>
            </w:r>
          </w:p>
          <w:p w14:paraId="09BE39DF">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电网负荷1000兆瓦以上5000兆瓦以下的省、自治区电网，减供负荷50%以上</w:t>
            </w:r>
          </w:p>
          <w:p w14:paraId="5D0D686B">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直辖市电网减供负荷20%以上50%以下</w:t>
            </w:r>
          </w:p>
          <w:p w14:paraId="17BDBE7C">
            <w:pPr>
              <w:pStyle w:val="4"/>
              <w:ind w:firstLine="420" w:firstLineChars="200"/>
              <w:rPr>
                <w:rFonts w:ascii="Times New Roman" w:hAnsi="Times New Roman" w:eastAsia="仿宋_GB2312" w:cs="Times New Roman"/>
              </w:rPr>
            </w:pPr>
            <w:r>
              <w:rPr>
                <w:rFonts w:ascii="Times New Roman" w:hAnsi="Times New Roman" w:eastAsia="仿宋_GB2312" w:cs="Times New Roman"/>
              </w:rPr>
              <w:t>省、自治区人民政府所在地城市电网减供负荷40%以上(电网负荷2000兆瓦以上的，减供负荷40%以上60%以下)</w:t>
            </w:r>
          </w:p>
          <w:p w14:paraId="44C88700">
            <w:pPr>
              <w:pStyle w:val="4"/>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电网负荷600兆瓦以上的其他设区的市电网减供负荷60%以上</w:t>
            </w:r>
          </w:p>
        </w:tc>
        <w:tc>
          <w:tcPr>
            <w:tcW w:w="2910" w:type="dxa"/>
          </w:tcPr>
          <w:p w14:paraId="1DFF511B">
            <w:pPr>
              <w:pStyle w:val="4"/>
              <w:ind w:firstLine="497"/>
              <w:rPr>
                <w:rFonts w:ascii="Times New Roman" w:hAnsi="Times New Roman" w:eastAsia="仿宋_GB2312" w:cs="Times New Roman"/>
              </w:rPr>
            </w:pPr>
            <w:r>
              <w:rPr>
                <w:rFonts w:ascii="Times New Roman" w:hAnsi="Times New Roman" w:eastAsia="仿宋_GB2312" w:cs="Times New Roman"/>
              </w:rPr>
              <w:t>直辖市30%以上60%以下供电用户停电</w:t>
            </w:r>
          </w:p>
          <w:p w14:paraId="223B21C8">
            <w:pPr>
              <w:pStyle w:val="4"/>
              <w:ind w:firstLine="497"/>
              <w:rPr>
                <w:rFonts w:ascii="Times New Roman" w:hAnsi="Times New Roman" w:eastAsia="仿宋_GB2312" w:cs="Times New Roman"/>
              </w:rPr>
            </w:pPr>
            <w:r>
              <w:rPr>
                <w:rFonts w:ascii="Times New Roman" w:hAnsi="Times New Roman" w:eastAsia="仿宋_GB2312" w:cs="Times New Roman"/>
              </w:rPr>
              <w:t>省、自治区人民政府所在地城市50%以上</w:t>
            </w:r>
          </w:p>
          <w:p w14:paraId="04088312">
            <w:pPr>
              <w:pStyle w:val="4"/>
              <w:rPr>
                <w:rFonts w:ascii="Times New Roman" w:hAnsi="Times New Roman" w:eastAsia="仿宋_GB2312" w:cs="Times New Roman"/>
              </w:rPr>
            </w:pPr>
            <w:r>
              <w:rPr>
                <w:rFonts w:ascii="Times New Roman" w:hAnsi="Times New Roman" w:eastAsia="仿宋_GB2312" w:cs="Times New Roman"/>
              </w:rPr>
              <w:t>供电用户停电(电网负荷2000兆瓦以上的，50%以上70%以下)</w:t>
            </w:r>
          </w:p>
          <w:p w14:paraId="56898A5E">
            <w:pPr>
              <w:pStyle w:val="4"/>
              <w:ind w:firstLine="420" w:firstLineChars="200"/>
              <w:rPr>
                <w:rFonts w:ascii="Times New Roman" w:hAnsi="Times New Roman" w:cs="Times New Roman"/>
              </w:rPr>
            </w:pPr>
            <w:r>
              <w:rPr>
                <w:rFonts w:ascii="Times New Roman" w:hAnsi="Times New Roman" w:eastAsia="仿宋_GB2312" w:cs="Times New Roman"/>
              </w:rPr>
              <w:t>电网负荷600兆瓦以上的其他设区的市70%以上供电用户停电</w:t>
            </w:r>
          </w:p>
        </w:tc>
        <w:tc>
          <w:tcPr>
            <w:tcW w:w="2340" w:type="dxa"/>
          </w:tcPr>
          <w:p w14:paraId="59D59B67">
            <w:pPr>
              <w:pStyle w:val="4"/>
              <w:rPr>
                <w:rFonts w:ascii="Times New Roman" w:hAnsi="Times New Roman" w:cs="Times New Roman"/>
              </w:rPr>
            </w:pPr>
          </w:p>
        </w:tc>
        <w:tc>
          <w:tcPr>
            <w:tcW w:w="1860" w:type="dxa"/>
          </w:tcPr>
          <w:p w14:paraId="5FF2DA9D">
            <w:pPr>
              <w:pStyle w:val="4"/>
              <w:rPr>
                <w:rFonts w:ascii="Times New Roman" w:hAnsi="Times New Roman" w:cs="Times New Roman"/>
              </w:rPr>
            </w:pPr>
          </w:p>
        </w:tc>
        <w:tc>
          <w:tcPr>
            <w:tcW w:w="1877" w:type="dxa"/>
          </w:tcPr>
          <w:p w14:paraId="0DB86CD9">
            <w:pPr>
              <w:pStyle w:val="4"/>
              <w:rPr>
                <w:rFonts w:ascii="Times New Roman" w:hAnsi="Times New Roman" w:cs="Times New Roman"/>
              </w:rPr>
            </w:pPr>
          </w:p>
          <w:p w14:paraId="05CA18B8">
            <w:pPr>
              <w:pStyle w:val="4"/>
              <w:rPr>
                <w:rFonts w:ascii="Times New Roman" w:hAnsi="Times New Roman" w:cs="Times New Roman"/>
              </w:rPr>
            </w:pPr>
          </w:p>
          <w:p w14:paraId="00B46856">
            <w:pPr>
              <w:pStyle w:val="4"/>
              <w:rPr>
                <w:rFonts w:ascii="Times New Roman" w:hAnsi="Times New Roman" w:cs="Times New Roman"/>
              </w:rPr>
            </w:pPr>
          </w:p>
          <w:p w14:paraId="41DC6708">
            <w:pPr>
              <w:pStyle w:val="4"/>
              <w:rPr>
                <w:rFonts w:ascii="Times New Roman" w:hAnsi="Times New Roman" w:cs="Times New Roman"/>
              </w:rPr>
            </w:pPr>
          </w:p>
          <w:p w14:paraId="628AFE26">
            <w:pPr>
              <w:pStyle w:val="4"/>
              <w:rPr>
                <w:rFonts w:ascii="Times New Roman" w:hAnsi="Times New Roman" w:cs="Times New Roman"/>
              </w:rPr>
            </w:pPr>
          </w:p>
          <w:p w14:paraId="0C1B910C">
            <w:pPr>
              <w:pStyle w:val="4"/>
              <w:rPr>
                <w:rFonts w:ascii="Times New Roman" w:hAnsi="Times New Roman" w:cs="Times New Roman"/>
              </w:rPr>
            </w:pPr>
          </w:p>
          <w:p w14:paraId="69EB6A8C">
            <w:pPr>
              <w:pStyle w:val="4"/>
              <w:rPr>
                <w:rFonts w:ascii="Times New Roman" w:hAnsi="Times New Roman" w:cs="Times New Roman"/>
              </w:rPr>
            </w:pPr>
          </w:p>
          <w:p w14:paraId="5EB3E252">
            <w:pPr>
              <w:pStyle w:val="4"/>
              <w:rPr>
                <w:rFonts w:ascii="Times New Roman" w:hAnsi="Times New Roman" w:cs="Times New Roman"/>
              </w:rPr>
            </w:pPr>
          </w:p>
          <w:p w14:paraId="6A1DD66A">
            <w:pPr>
              <w:pStyle w:val="4"/>
              <w:rPr>
                <w:rFonts w:ascii="Times New Roman" w:hAnsi="Times New Roman" w:cs="Times New Roman"/>
              </w:rPr>
            </w:pPr>
          </w:p>
        </w:tc>
      </w:tr>
    </w:tbl>
    <w:p w14:paraId="4524BA57">
      <w:pPr>
        <w:jc w:val="right"/>
        <w:rPr>
          <w:rFonts w:hint="eastAsia" w:eastAsiaTheme="minorEastAsia"/>
          <w:lang w:eastAsia="zh-CN"/>
        </w:rPr>
      </w:pPr>
      <w:r>
        <w:rPr>
          <w:rFonts w:hint="eastAsia"/>
          <w:sz w:val="24"/>
          <w:szCs w:val="24"/>
          <w:lang w:eastAsia="zh-CN"/>
        </w:rPr>
        <w:t>续表</w:t>
      </w:r>
    </w:p>
    <w:tbl>
      <w:tblPr>
        <w:tblStyle w:val="8"/>
        <w:tblW w:w="14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4329"/>
        <w:gridCol w:w="2910"/>
        <w:gridCol w:w="2211"/>
        <w:gridCol w:w="1715"/>
        <w:gridCol w:w="2151"/>
      </w:tblGrid>
      <w:tr w14:paraId="22D8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8" w:hRule="atLeast"/>
        </w:trPr>
        <w:tc>
          <w:tcPr>
            <w:tcW w:w="1340" w:type="dxa"/>
            <w:vAlign w:val="center"/>
          </w:tcPr>
          <w:p w14:paraId="5EF60C89">
            <w:pPr>
              <w:pStyle w:val="4"/>
              <w:jc w:val="center"/>
              <w:rPr>
                <w:rFonts w:ascii="Times New Roman" w:hAnsi="Times New Roman" w:eastAsia="黑体" w:cs="Times New Roman"/>
              </w:rPr>
            </w:pPr>
            <w:r>
              <w:rPr>
                <w:rFonts w:ascii="Times New Roman" w:hAnsi="Times New Roman" w:eastAsia="黑体" w:cs="Times New Roman"/>
              </w:rPr>
              <w:t>较</w:t>
            </w:r>
          </w:p>
          <w:p w14:paraId="25D526CB">
            <w:pPr>
              <w:pStyle w:val="4"/>
              <w:jc w:val="center"/>
              <w:rPr>
                <w:rFonts w:ascii="Times New Roman" w:hAnsi="Times New Roman" w:eastAsia="黑体" w:cs="Times New Roman"/>
              </w:rPr>
            </w:pPr>
            <w:r>
              <w:rPr>
                <w:rFonts w:ascii="Times New Roman" w:hAnsi="Times New Roman" w:eastAsia="黑体" w:cs="Times New Roman"/>
              </w:rPr>
              <w:t>大</w:t>
            </w:r>
          </w:p>
          <w:p w14:paraId="6FDD8558">
            <w:pPr>
              <w:pStyle w:val="4"/>
              <w:jc w:val="center"/>
              <w:rPr>
                <w:rFonts w:ascii="Times New Roman" w:hAnsi="Times New Roman" w:eastAsia="黑体" w:cs="Times New Roman"/>
              </w:rPr>
            </w:pPr>
            <w:r>
              <w:rPr>
                <w:rFonts w:ascii="Times New Roman" w:hAnsi="Times New Roman" w:eastAsia="黑体" w:cs="Times New Roman"/>
              </w:rPr>
              <w:t>事</w:t>
            </w:r>
          </w:p>
          <w:p w14:paraId="697A3BDE">
            <w:pPr>
              <w:pStyle w:val="4"/>
              <w:jc w:val="center"/>
              <w:rPr>
                <w:rFonts w:ascii="Times New Roman" w:hAnsi="Times New Roman" w:cs="Times New Roman"/>
              </w:rPr>
            </w:pPr>
            <w:r>
              <w:rPr>
                <w:rFonts w:ascii="Times New Roman" w:hAnsi="Times New Roman" w:eastAsia="黑体" w:cs="Times New Roman"/>
              </w:rPr>
              <w:t>故</w:t>
            </w:r>
          </w:p>
        </w:tc>
        <w:tc>
          <w:tcPr>
            <w:tcW w:w="4329" w:type="dxa"/>
          </w:tcPr>
          <w:p w14:paraId="192D253F">
            <w:pPr>
              <w:pStyle w:val="4"/>
              <w:ind w:firstLine="420" w:firstLineChars="200"/>
              <w:rPr>
                <w:rFonts w:ascii="Times New Roman" w:hAnsi="Times New Roman" w:eastAsia="仿宋_GB2312" w:cs="Times New Roman"/>
              </w:rPr>
            </w:pPr>
            <w:r>
              <w:rPr>
                <w:rFonts w:ascii="Times New Roman" w:hAnsi="Times New Roman" w:eastAsia="仿宋_GB2312" w:cs="Times New Roman"/>
              </w:rPr>
              <w:t>区域性电网减供负荷7%以上10%以下</w:t>
            </w:r>
          </w:p>
          <w:p w14:paraId="2338697E">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电网负荷20000兆瓦以上的省、自治区电网，减供负荷10%以上13%以下</w:t>
            </w:r>
          </w:p>
          <w:p w14:paraId="49D8E78F">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电网负荷5000兆瓦以上20000兆瓦以下的省、自治区电网，减供负荷12%以上16%以下</w:t>
            </w:r>
          </w:p>
          <w:p w14:paraId="72A75EB3">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电网负荷1000兆瓦以上5000兆瓦以下的省、自治区电网，减供负荷20%以上50%以下</w:t>
            </w:r>
          </w:p>
          <w:p w14:paraId="7F8E6C85">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电网负荷1000兆瓦以下的省、自治区电网，减供负荷40%以上</w:t>
            </w:r>
          </w:p>
          <w:p w14:paraId="09CD14F6">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直辖市电网减供负荷10%以上20%以下</w:t>
            </w:r>
          </w:p>
          <w:p w14:paraId="40A6A5D1">
            <w:pPr>
              <w:pStyle w:val="4"/>
              <w:ind w:firstLine="420" w:firstLineChars="200"/>
              <w:rPr>
                <w:rFonts w:ascii="Times New Roman" w:hAnsi="Times New Roman" w:eastAsia="仿宋_GB2312" w:cs="Times New Roman"/>
              </w:rPr>
            </w:pPr>
            <w:r>
              <w:rPr>
                <w:rFonts w:ascii="Times New Roman" w:hAnsi="Times New Roman" w:eastAsia="仿宋_GB2312" w:cs="Times New Roman"/>
              </w:rPr>
              <w:t>省、自治区人民政府所在地城市电网减供负荷20%以上40%以下</w:t>
            </w:r>
          </w:p>
          <w:p w14:paraId="69A9689D">
            <w:pPr>
              <w:pStyle w:val="4"/>
              <w:ind w:firstLine="420" w:firstLineChars="200"/>
              <w:rPr>
                <w:rFonts w:ascii="Times New Roman" w:hAnsi="Times New Roman" w:eastAsia="仿宋_GB2312" w:cs="Times New Roman"/>
              </w:rPr>
            </w:pPr>
            <w:r>
              <w:rPr>
                <w:rFonts w:ascii="Times New Roman" w:hAnsi="Times New Roman" w:eastAsia="仿宋_GB2312" w:cs="Times New Roman"/>
              </w:rPr>
              <w:t>其他设区的市电网减供负荷40%以上(电网负荷600兆瓦以上的，减供负荷40%以上60%以下)</w:t>
            </w:r>
          </w:p>
          <w:p w14:paraId="6D79C8EA">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电网负荷150兆瓦以上的县级市电网减供负荷60%以上</w:t>
            </w:r>
          </w:p>
        </w:tc>
        <w:tc>
          <w:tcPr>
            <w:tcW w:w="2910" w:type="dxa"/>
          </w:tcPr>
          <w:p w14:paraId="7323D02C">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直辖市15%以上30%以下供电用户停电</w:t>
            </w:r>
          </w:p>
          <w:p w14:paraId="64606AEA">
            <w:pPr>
              <w:pStyle w:val="4"/>
              <w:ind w:firstLine="420" w:firstLineChars="200"/>
              <w:rPr>
                <w:rFonts w:ascii="Times New Roman" w:hAnsi="Times New Roman" w:eastAsia="仿宋_GB2312" w:cs="Times New Roman"/>
              </w:rPr>
            </w:pPr>
            <w:r>
              <w:rPr>
                <w:rFonts w:ascii="Times New Roman" w:hAnsi="Times New Roman" w:eastAsia="仿宋_GB2312" w:cs="Times New Roman"/>
              </w:rPr>
              <w:t>省、自治区人民政府所在地城市30%以上50%以下供电用户停电</w:t>
            </w:r>
          </w:p>
          <w:p w14:paraId="04E4C93A">
            <w:pPr>
              <w:pStyle w:val="4"/>
              <w:ind w:firstLine="420" w:firstLineChars="200"/>
              <w:rPr>
                <w:rFonts w:ascii="Times New Roman" w:hAnsi="Times New Roman" w:eastAsia="仿宋_GB2312" w:cs="Times New Roman"/>
              </w:rPr>
            </w:pPr>
            <w:r>
              <w:rPr>
                <w:rFonts w:ascii="Times New Roman" w:hAnsi="Times New Roman" w:eastAsia="仿宋_GB2312" w:cs="Times New Roman"/>
              </w:rPr>
              <w:t>其他设区的市50%以上供电用户停电(电网负荷600兆瓦以上的，50%以上70%以下)</w:t>
            </w:r>
          </w:p>
          <w:p w14:paraId="7AFA2415">
            <w:pPr>
              <w:pStyle w:val="4"/>
              <w:ind w:firstLine="420" w:firstLineChars="200"/>
              <w:rPr>
                <w:rFonts w:ascii="Times New Roman" w:hAnsi="Times New Roman" w:cs="Times New Roman"/>
              </w:rPr>
            </w:pPr>
            <w:r>
              <w:rPr>
                <w:rFonts w:ascii="Times New Roman" w:hAnsi="Times New Roman" w:eastAsia="仿宋_GB2312" w:cs="Times New Roman"/>
              </w:rPr>
              <w:t>电网负荷150兆瓦以上的县级市70%以上供电用户停电</w:t>
            </w:r>
          </w:p>
        </w:tc>
        <w:tc>
          <w:tcPr>
            <w:tcW w:w="2211" w:type="dxa"/>
          </w:tcPr>
          <w:p w14:paraId="6C086B1C">
            <w:pPr>
              <w:pStyle w:val="4"/>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发电厂或者220千伏以上变电站因安全故障造成全厂(站)对外停电，导致周边电压监视控制点电压低于调度机构规定的电压曲线值20%并且持续时间30分钟以上，或者导致周边电压监视控制点电压低于调度机构规定的电压曲线值10%并且持续时间1小时以上</w:t>
            </w:r>
          </w:p>
        </w:tc>
        <w:tc>
          <w:tcPr>
            <w:tcW w:w="1715" w:type="dxa"/>
          </w:tcPr>
          <w:p w14:paraId="658FA42B">
            <w:pPr>
              <w:pStyle w:val="4"/>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发电机组因安全故障停止运行超过行业标准规定的大修时间两周，并导致电网减供负荷</w:t>
            </w:r>
          </w:p>
        </w:tc>
        <w:tc>
          <w:tcPr>
            <w:tcW w:w="2151" w:type="dxa"/>
          </w:tcPr>
          <w:p w14:paraId="6B15B846">
            <w:pPr>
              <w:pStyle w:val="4"/>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r>
              <w:rPr>
                <w:rFonts w:ascii="Times New Roman" w:hAnsi="Times New Roman" w:eastAsia="仿宋_GB2312" w:cs="Times New Roman"/>
              </w:rPr>
              <w:t>供热机组装机容量200兆瓦以上的热电厂，在当地人民政府规定的采暖期内同时发生2台以上供热机组因安全故障停止运行，造成全厂对外停止供热并且持续时间48小时以上</w:t>
            </w:r>
          </w:p>
        </w:tc>
      </w:tr>
      <w:tr w14:paraId="1EE08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40" w:type="dxa"/>
            <w:vAlign w:val="center"/>
          </w:tcPr>
          <w:p w14:paraId="100A9D01">
            <w:pPr>
              <w:pStyle w:val="4"/>
              <w:jc w:val="center"/>
              <w:rPr>
                <w:rFonts w:ascii="Times New Roman" w:hAnsi="Times New Roman" w:eastAsia="黑体" w:cs="Times New Roman"/>
              </w:rPr>
            </w:pPr>
            <w:r>
              <w:rPr>
                <w:rFonts w:ascii="Times New Roman" w:hAnsi="Times New Roman" w:eastAsia="黑体" w:cs="Times New Roman"/>
              </w:rPr>
              <w:t>一</w:t>
            </w:r>
          </w:p>
          <w:p w14:paraId="7CEDDD00">
            <w:pPr>
              <w:pStyle w:val="4"/>
              <w:jc w:val="center"/>
              <w:rPr>
                <w:rFonts w:ascii="Times New Roman" w:hAnsi="Times New Roman" w:eastAsia="黑体" w:cs="Times New Roman"/>
              </w:rPr>
            </w:pPr>
            <w:r>
              <w:rPr>
                <w:rFonts w:ascii="Times New Roman" w:hAnsi="Times New Roman" w:eastAsia="黑体" w:cs="Times New Roman"/>
              </w:rPr>
              <w:t>般</w:t>
            </w:r>
          </w:p>
          <w:p w14:paraId="35FF176C">
            <w:pPr>
              <w:pStyle w:val="4"/>
              <w:jc w:val="center"/>
              <w:rPr>
                <w:rFonts w:ascii="Times New Roman" w:hAnsi="Times New Roman" w:eastAsia="黑体" w:cs="Times New Roman"/>
              </w:rPr>
            </w:pPr>
            <w:r>
              <w:rPr>
                <w:rFonts w:ascii="Times New Roman" w:hAnsi="Times New Roman" w:eastAsia="黑体" w:cs="Times New Roman"/>
              </w:rPr>
              <w:t>事</w:t>
            </w:r>
          </w:p>
          <w:p w14:paraId="355D9016">
            <w:pPr>
              <w:pStyle w:val="4"/>
              <w:jc w:val="center"/>
              <w:rPr>
                <w:rFonts w:ascii="Times New Roman" w:hAnsi="Times New Roman" w:eastAsia="黑体" w:cs="Times New Roman"/>
              </w:rPr>
            </w:pPr>
            <w:r>
              <w:rPr>
                <w:rFonts w:ascii="Times New Roman" w:hAnsi="Times New Roman" w:eastAsia="黑体" w:cs="Times New Roman"/>
              </w:rPr>
              <w:t>故</w:t>
            </w:r>
          </w:p>
        </w:tc>
        <w:tc>
          <w:tcPr>
            <w:tcW w:w="4329" w:type="dxa"/>
          </w:tcPr>
          <w:p w14:paraId="00F7388A">
            <w:pPr>
              <w:pStyle w:val="4"/>
              <w:ind w:firstLine="420" w:firstLineChars="200"/>
              <w:rPr>
                <w:rFonts w:ascii="Times New Roman" w:hAnsi="Times New Roman" w:eastAsia="仿宋_GB2312" w:cs="Times New Roman"/>
              </w:rPr>
            </w:pPr>
            <w:r>
              <w:rPr>
                <w:rFonts w:ascii="Times New Roman" w:hAnsi="Times New Roman" w:eastAsia="仿宋_GB2312" w:cs="Times New Roman"/>
              </w:rPr>
              <w:t>区域性电网减供负荷4%以上7%以下</w:t>
            </w:r>
          </w:p>
          <w:p w14:paraId="164E7D00">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电网负荷20000兆瓦以上的省、自治区电网，减供负荷5%以上10%以下</w:t>
            </w:r>
          </w:p>
          <w:p w14:paraId="1147A0D1">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电网负荷5000兆瓦以上20000兆瓦以下的省、自治区电网，减供负荷6%以上12%以下</w:t>
            </w:r>
          </w:p>
          <w:p w14:paraId="450BF9D8">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电网负荷1000兆瓦以上5000兆瓦以下的省、自治区电网，减供负荷10%以上20%以下</w:t>
            </w:r>
          </w:p>
        </w:tc>
        <w:tc>
          <w:tcPr>
            <w:tcW w:w="2910" w:type="dxa"/>
            <w:vAlign w:val="top"/>
          </w:tcPr>
          <w:p w14:paraId="29840EBA">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直辖市10%以上15%以下供电用户停电</w:t>
            </w:r>
          </w:p>
          <w:p w14:paraId="315684F3">
            <w:pPr>
              <w:pStyle w:val="4"/>
              <w:ind w:firstLine="420" w:firstLineChars="200"/>
              <w:rPr>
                <w:rFonts w:ascii="Times New Roman" w:hAnsi="Times New Roman" w:eastAsia="仿宋_GB2312" w:cs="Times New Roman"/>
              </w:rPr>
            </w:pPr>
            <w:r>
              <w:rPr>
                <w:rFonts w:ascii="Times New Roman" w:hAnsi="Times New Roman" w:eastAsia="仿宋_GB2312" w:cs="Times New Roman"/>
              </w:rPr>
              <w:t>省、自治区人民政府所在地城市15%以上30%以下供电用户停电</w:t>
            </w:r>
          </w:p>
          <w:p w14:paraId="65796052">
            <w:pPr>
              <w:pStyle w:val="4"/>
              <w:ind w:firstLine="420" w:firstLineChars="200"/>
              <w:rPr>
                <w:rFonts w:ascii="Times New Roman" w:hAnsi="Times New Roman" w:eastAsia="仿宋_GB2312" w:cs="Times New Roman"/>
              </w:rPr>
            </w:pPr>
            <w:r>
              <w:rPr>
                <w:rFonts w:ascii="Times New Roman" w:hAnsi="Times New Roman" w:eastAsia="仿宋_GB2312" w:cs="Times New Roman"/>
              </w:rPr>
              <w:t>其他设区的市30%以上50%以下供电用户停电</w:t>
            </w:r>
          </w:p>
          <w:p w14:paraId="39B8AEFB">
            <w:pPr>
              <w:pStyle w:val="4"/>
              <w:rPr>
                <w:rFonts w:ascii="Times New Roman" w:hAnsi="Times New Roman" w:eastAsia="仿宋_GB2312"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县级市50%以上供电用户停电(电网负荷150兆瓦以上的，50%以上70%以下)</w:t>
            </w:r>
          </w:p>
        </w:tc>
        <w:tc>
          <w:tcPr>
            <w:tcW w:w="2211" w:type="dxa"/>
            <w:vAlign w:val="top"/>
          </w:tcPr>
          <w:p w14:paraId="62736286">
            <w:pPr>
              <w:pStyle w:val="4"/>
              <w:rPr>
                <w:rFonts w:ascii="Times New Roman" w:hAnsi="Times New Roman" w:eastAsia="仿宋_GB2312"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发电厂或者220千伏以上变电站因安全故障造成全厂(站)对外停电，导致周边电压监视控制点电压低于调度机构规定的电压曲线值5%以上10%以下并且持续时间2小时以上</w:t>
            </w:r>
          </w:p>
        </w:tc>
        <w:tc>
          <w:tcPr>
            <w:tcW w:w="1715" w:type="dxa"/>
            <w:vAlign w:val="top"/>
          </w:tcPr>
          <w:p w14:paraId="412027C2">
            <w:pPr>
              <w:pStyle w:val="4"/>
              <w:rPr>
                <w:rFonts w:ascii="Times New Roman" w:hAnsi="Times New Roman" w:eastAsia="仿宋_GB2312"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发电机组因安全故障停止运行超过行业标准规定的小修时间两周，并导致电网减供负荷</w:t>
            </w:r>
          </w:p>
        </w:tc>
        <w:tc>
          <w:tcPr>
            <w:tcW w:w="2151" w:type="dxa"/>
            <w:vAlign w:val="top"/>
          </w:tcPr>
          <w:p w14:paraId="5C635A84">
            <w:pPr>
              <w:pStyle w:val="4"/>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r>
              <w:rPr>
                <w:rFonts w:ascii="Times New Roman" w:hAnsi="Times New Roman" w:eastAsia="仿宋_GB2312" w:cs="Times New Roman"/>
              </w:rPr>
              <w:t>供热机组装机容量200兆瓦以上的热电厂，在当地人民政府规定的采暖期内同时发生2台以上供热机组因安全故障停止运行，造成全厂对外停止供热并且持续时间24小时以上</w:t>
            </w:r>
          </w:p>
        </w:tc>
      </w:tr>
    </w:tbl>
    <w:p w14:paraId="7EE7192E">
      <w:pPr>
        <w:jc w:val="right"/>
      </w:pPr>
      <w:r>
        <w:rPr>
          <w:rFonts w:hint="eastAsia"/>
          <w:sz w:val="24"/>
          <w:szCs w:val="24"/>
          <w:lang w:eastAsia="zh-CN"/>
        </w:rPr>
        <w:t>续表</w:t>
      </w:r>
    </w:p>
    <w:tbl>
      <w:tblPr>
        <w:tblStyle w:val="8"/>
        <w:tblW w:w="14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4329"/>
        <w:gridCol w:w="2910"/>
        <w:gridCol w:w="2211"/>
        <w:gridCol w:w="1715"/>
        <w:gridCol w:w="2151"/>
      </w:tblGrid>
      <w:tr w14:paraId="4876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40" w:type="dxa"/>
            <w:vAlign w:val="center"/>
          </w:tcPr>
          <w:p w14:paraId="61DB1862">
            <w:pPr>
              <w:pStyle w:val="4"/>
              <w:jc w:val="center"/>
              <w:rPr>
                <w:rFonts w:ascii="Times New Roman" w:hAnsi="Times New Roman" w:eastAsia="黑体" w:cs="Times New Roman"/>
              </w:rPr>
            </w:pPr>
            <w:r>
              <w:rPr>
                <w:rFonts w:ascii="Times New Roman" w:hAnsi="Times New Roman" w:eastAsia="黑体" w:cs="Times New Roman"/>
              </w:rPr>
              <w:t>一</w:t>
            </w:r>
          </w:p>
          <w:p w14:paraId="6FA88573">
            <w:pPr>
              <w:pStyle w:val="4"/>
              <w:jc w:val="center"/>
              <w:rPr>
                <w:rFonts w:ascii="Times New Roman" w:hAnsi="Times New Roman" w:eastAsia="黑体" w:cs="Times New Roman"/>
              </w:rPr>
            </w:pPr>
            <w:r>
              <w:rPr>
                <w:rFonts w:ascii="Times New Roman" w:hAnsi="Times New Roman" w:eastAsia="黑体" w:cs="Times New Roman"/>
              </w:rPr>
              <w:t>般</w:t>
            </w:r>
          </w:p>
          <w:p w14:paraId="4A06064A">
            <w:pPr>
              <w:pStyle w:val="4"/>
              <w:jc w:val="center"/>
              <w:rPr>
                <w:rFonts w:ascii="Times New Roman" w:hAnsi="Times New Roman" w:eastAsia="黑体" w:cs="Times New Roman"/>
              </w:rPr>
            </w:pPr>
            <w:r>
              <w:rPr>
                <w:rFonts w:ascii="Times New Roman" w:hAnsi="Times New Roman" w:eastAsia="黑体" w:cs="Times New Roman"/>
              </w:rPr>
              <w:t>事</w:t>
            </w:r>
          </w:p>
          <w:p w14:paraId="01B5A4A0">
            <w:pPr>
              <w:pStyle w:val="4"/>
              <w:jc w:val="center"/>
              <w:rPr>
                <w:rFonts w:ascii="Times New Roman" w:hAnsi="Times New Roman" w:cs="Times New Roman"/>
              </w:rPr>
            </w:pPr>
            <w:r>
              <w:rPr>
                <w:rFonts w:ascii="Times New Roman" w:hAnsi="Times New Roman" w:eastAsia="黑体" w:cs="Times New Roman"/>
              </w:rPr>
              <w:t>故</w:t>
            </w:r>
          </w:p>
        </w:tc>
        <w:tc>
          <w:tcPr>
            <w:tcW w:w="4329" w:type="dxa"/>
            <w:vAlign w:val="center"/>
          </w:tcPr>
          <w:p w14:paraId="1F36B6C7">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电网负荷1000兆瓦以下的省、自治区电网，减供负荷25%以上40%以下</w:t>
            </w:r>
          </w:p>
          <w:p w14:paraId="1ECC8192">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直辖市电网减供负荷5%以上10%以下</w:t>
            </w:r>
          </w:p>
          <w:p w14:paraId="69F7E4D7">
            <w:pPr>
              <w:pStyle w:val="4"/>
              <w:ind w:firstLine="420" w:firstLineChars="200"/>
              <w:rPr>
                <w:rFonts w:ascii="Times New Roman" w:hAnsi="Times New Roman" w:eastAsia="仿宋_GB2312" w:cs="Times New Roman"/>
              </w:rPr>
            </w:pPr>
            <w:r>
              <w:rPr>
                <w:rFonts w:ascii="Times New Roman" w:hAnsi="Times New Roman" w:eastAsia="仿宋_GB2312" w:cs="Times New Roman"/>
              </w:rPr>
              <w:t>省、自治区人民政府所在地城市电网减供负荷10%以上20%以下</w:t>
            </w:r>
          </w:p>
          <w:p w14:paraId="08950BE1">
            <w:pPr>
              <w:pStyle w:val="4"/>
              <w:ind w:firstLine="420" w:firstLineChars="200"/>
              <w:rPr>
                <w:rFonts w:ascii="Times New Roman" w:hAnsi="Times New Roman" w:eastAsia="仿宋_GB2312" w:cs="Times New Roman"/>
              </w:rPr>
            </w:pPr>
            <w:r>
              <w:rPr>
                <w:rFonts w:ascii="Times New Roman" w:hAnsi="Times New Roman" w:eastAsia="仿宋_GB2312" w:cs="Times New Roman"/>
              </w:rPr>
              <w:t>其他设区的市电网减供负荷20%以上40%以下</w:t>
            </w:r>
          </w:p>
          <w:p w14:paraId="3B65CB94">
            <w:pPr>
              <w:pStyle w:val="4"/>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县级市减供负荷40%以上(电网负荷150兆瓦以上的，减供负荷40%以上60%以下)</w:t>
            </w:r>
          </w:p>
        </w:tc>
        <w:tc>
          <w:tcPr>
            <w:tcW w:w="2910" w:type="dxa"/>
          </w:tcPr>
          <w:p w14:paraId="42F6FB7C">
            <w:pPr>
              <w:pStyle w:val="4"/>
              <w:rPr>
                <w:rFonts w:ascii="Times New Roman" w:hAnsi="Times New Roman" w:cs="Times New Roman"/>
              </w:rPr>
            </w:pPr>
          </w:p>
        </w:tc>
        <w:tc>
          <w:tcPr>
            <w:tcW w:w="2211" w:type="dxa"/>
          </w:tcPr>
          <w:p w14:paraId="3FBC85C6">
            <w:pPr>
              <w:pStyle w:val="4"/>
              <w:rPr>
                <w:rFonts w:ascii="Times New Roman" w:hAnsi="Times New Roman" w:cs="Times New Roman"/>
              </w:rPr>
            </w:pPr>
          </w:p>
        </w:tc>
        <w:tc>
          <w:tcPr>
            <w:tcW w:w="1715" w:type="dxa"/>
          </w:tcPr>
          <w:p w14:paraId="6FFB723D">
            <w:pPr>
              <w:pStyle w:val="4"/>
              <w:rPr>
                <w:rFonts w:ascii="Times New Roman" w:hAnsi="Times New Roman" w:cs="Times New Roman"/>
              </w:rPr>
            </w:pPr>
          </w:p>
        </w:tc>
        <w:tc>
          <w:tcPr>
            <w:tcW w:w="2151" w:type="dxa"/>
          </w:tcPr>
          <w:p w14:paraId="53C43E13">
            <w:pPr>
              <w:pStyle w:val="4"/>
              <w:rPr>
                <w:rFonts w:ascii="Times New Roman" w:hAnsi="Times New Roman" w:cs="Times New Roman"/>
              </w:rPr>
            </w:pPr>
          </w:p>
        </w:tc>
      </w:tr>
    </w:tbl>
    <w:p w14:paraId="58F203DF">
      <w:pPr>
        <w:pStyle w:val="4"/>
        <w:rPr>
          <w:rFonts w:ascii="Times New Roman" w:hAnsi="Times New Roman" w:eastAsia="仿宋_GB2312" w:cs="Times New Roman"/>
          <w:sz w:val="32"/>
          <w:szCs w:val="32"/>
        </w:rPr>
      </w:pPr>
      <w:r>
        <w:rPr>
          <w:rFonts w:ascii="Times New Roman" w:hAnsi="Times New Roman" w:eastAsia="仿宋_GB2312" w:cs="Times New Roman"/>
          <w:sz w:val="32"/>
          <w:szCs w:val="32"/>
        </w:rPr>
        <w:t>注：1．符合本表所列情形之一的，即构成相应等级的电力安全事故。</w:t>
      </w:r>
    </w:p>
    <w:p w14:paraId="6F2729F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2．本表中所称的</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不包括本数。</w:t>
      </w:r>
    </w:p>
    <w:p w14:paraId="03452F6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3．本表下列用语的含义：</w:t>
      </w:r>
    </w:p>
    <w:p w14:paraId="7D7BF17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(1)电网负荷，是指电力调度机构统一调度的电网在事故发生起始时刻的实际负荷；</w:t>
      </w:r>
    </w:p>
    <w:p w14:paraId="1FDA043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(2)电网减供负荷，是指电力调度机构统一调度的电网在事故发生期间的实际负荷最大减少量；</w:t>
      </w:r>
    </w:p>
    <w:p w14:paraId="205D940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(3)全厂对外停电，是指发电厂对外有功负荷降到零(虽电网经发电厂母线传送的负荷没有停止，仍视为全厂对外停电)；</w:t>
      </w:r>
    </w:p>
    <w:p w14:paraId="0782E5DF">
      <w:pPr>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(4)发电机组因安全故障停止运行，是指并网运行的发电机组(包括各种类型的电站锅炉、汽轮机、燃气轮机、水轮机、发电机和主变压器等主要发电设备)，在未经电力调度机构允许的情况下，因安全故障需要停止运行的状态。</w:t>
      </w:r>
    </w:p>
    <w:sectPr>
      <w:type w:val="continuous"/>
      <w:pgSz w:w="16838" w:h="11906" w:orient="landscape"/>
      <w:pgMar w:top="1134" w:right="1134" w:bottom="1134"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3AAAE">
    <w:pPr>
      <w:pStyle w:val="5"/>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6606873">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753551E"/>
    <w:rsid w:val="005559E6"/>
    <w:rsid w:val="00721BAF"/>
    <w:rsid w:val="00B15090"/>
    <w:rsid w:val="020C75E2"/>
    <w:rsid w:val="09161CE2"/>
    <w:rsid w:val="0DB4640D"/>
    <w:rsid w:val="1265253F"/>
    <w:rsid w:val="17763A13"/>
    <w:rsid w:val="1BEA60C2"/>
    <w:rsid w:val="1D4902EA"/>
    <w:rsid w:val="24F34D15"/>
    <w:rsid w:val="31165E58"/>
    <w:rsid w:val="36A435E4"/>
    <w:rsid w:val="3BFB3456"/>
    <w:rsid w:val="3D4B5A73"/>
    <w:rsid w:val="4052530E"/>
    <w:rsid w:val="42167AD1"/>
    <w:rsid w:val="42281CBC"/>
    <w:rsid w:val="46CD01C9"/>
    <w:rsid w:val="480A07F2"/>
    <w:rsid w:val="48115139"/>
    <w:rsid w:val="4CD454C2"/>
    <w:rsid w:val="4DEC494A"/>
    <w:rsid w:val="51E92668"/>
    <w:rsid w:val="52896EE3"/>
    <w:rsid w:val="59F26F64"/>
    <w:rsid w:val="5C317402"/>
    <w:rsid w:val="67A35567"/>
    <w:rsid w:val="6BBA5DF6"/>
    <w:rsid w:val="6D075104"/>
    <w:rsid w:val="759632FF"/>
    <w:rsid w:val="7753551E"/>
    <w:rsid w:val="785F135D"/>
    <w:rsid w:val="7E360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caption"/>
    <w:basedOn w:val="1"/>
    <w:next w:val="1"/>
    <w:unhideWhenUsed/>
    <w:qFormat/>
    <w:uiPriority w:val="0"/>
    <w:rPr>
      <w:rFonts w:ascii="Arial" w:hAnsi="Arial" w:eastAsia="黑体"/>
      <w:sz w:val="20"/>
    </w:r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3</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2019-06-05T12:44:00Z</dcterms:created>
  <dc:creator>Administrator</dc:creator>
  <cp:lastModifiedBy>拱酝爻涣和</cp:lastModifiedBy>
  <cp:lastPrinted>2019-05-25T01:52:00Z</cp:lastPrinted>
  <dcterms:modified xsi:type="dcterms:W3CDTF">2025-06-29T10:22:09Z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352F74F34C804F30892FDA664D8B756F_12</vt:lpwstr>
  </property>
</Properties>
</file>