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E3F7F8">
      <w:pPr>
        <w:pStyle w:val="2"/>
        <w:jc w:val="center"/>
        <w:rPr>
          <w:rFonts w:ascii="Times New Roman" w:hAnsi="Times New Roman" w:cs="Times New Roman"/>
          <w:sz w:val="44"/>
          <w:szCs w:val="44"/>
        </w:rPr>
      </w:pPr>
      <w:bookmarkStart w:id="0" w:name="_GoBack"/>
      <w:bookmarkEnd w:id="0"/>
    </w:p>
    <w:p w14:paraId="1548ED10">
      <w:pPr>
        <w:pStyle w:val="2"/>
        <w:jc w:val="center"/>
        <w:rPr>
          <w:rFonts w:ascii="Times New Roman" w:hAnsi="Times New Roman" w:cs="Times New Roman"/>
          <w:sz w:val="44"/>
          <w:szCs w:val="44"/>
        </w:rPr>
      </w:pPr>
      <w:r>
        <w:rPr>
          <w:rFonts w:ascii="Times New Roman" w:hAnsi="Times New Roman" w:cs="Times New Roman"/>
          <w:sz w:val="44"/>
          <w:szCs w:val="44"/>
        </w:rPr>
        <w:t>矿产资源监督管理暂行办法</w:t>
      </w:r>
    </w:p>
    <w:p w14:paraId="43E6B2C0">
      <w:pPr>
        <w:pStyle w:val="2"/>
        <w:ind w:firstLine="640" w:firstLineChars="200"/>
        <w:rPr>
          <w:rFonts w:ascii="Times New Roman" w:hAnsi="Times New Roman" w:eastAsia="楷体_GB2312" w:cs="Times New Roman"/>
          <w:sz w:val="32"/>
          <w:szCs w:val="32"/>
        </w:rPr>
      </w:pPr>
    </w:p>
    <w:p w14:paraId="3D75A2A1">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7CB85E5B">
      <w:pPr>
        <w:pStyle w:val="2"/>
        <w:ind w:firstLine="640" w:firstLineChars="200"/>
        <w:rPr>
          <w:rFonts w:ascii="Times New Roman" w:hAnsi="Times New Roman" w:cs="Times New Roman"/>
          <w:sz w:val="32"/>
          <w:szCs w:val="32"/>
        </w:rPr>
      </w:pPr>
    </w:p>
    <w:p w14:paraId="6440455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为加强对矿山企业的矿产资源开发利用和保护工作的监督管理，根据《</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矿产资源法》的有关规定，制定本办法。</w:t>
      </w:r>
    </w:p>
    <w:p w14:paraId="3A4058D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本办法适用于在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领域及管辖海域内从事采矿生产的矿山企业(包括有矿山的单位，下同)，但本办法另有规定的除外。</w:t>
      </w:r>
    </w:p>
    <w:p w14:paraId="08A3DC2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国务院地质矿产主管部门对执行本办法负有下列职责：</w:t>
      </w:r>
    </w:p>
    <w:p w14:paraId="4183985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一、制定有关矿产资源开发利用与保护的监督管理规章；</w:t>
      </w:r>
    </w:p>
    <w:p w14:paraId="03D2830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二、监督、检查矿产资源管理法规的执行情况；</w:t>
      </w:r>
    </w:p>
    <w:p w14:paraId="3A01E8C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三、会同有关部门建立矿产资源合理开发利用的考核指标体系及定期报表制度；</w:t>
      </w:r>
    </w:p>
    <w:p w14:paraId="184E6C9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四、会同有关主管部门负责大型矿山企业的非正常储量报销的审批工作；</w:t>
      </w:r>
    </w:p>
    <w:p w14:paraId="5E3308B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五、组织或者参与矿产资源开发利用与保护工作的调查研究，总结交流经验。</w:t>
      </w:r>
    </w:p>
    <w:p w14:paraId="5426AC1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省、自治区、直辖市人民政府地质矿产主管部门对执行本办法负有下列职责：</w:t>
      </w:r>
    </w:p>
    <w:p w14:paraId="0FCBE18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一、根据本办法和有关法规，对本地区矿山企业的矿产资源开发利用与保护工作进行监督管理和指导；</w:t>
      </w:r>
    </w:p>
    <w:p w14:paraId="53AB726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二、根据需要向重点矿山企业派出矿产督察员，向矿山企业集中的地区派出巡回矿产督察员；</w:t>
      </w:r>
    </w:p>
    <w:p w14:paraId="676CF50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派出督察员的具体办法，由国务院地质矿产主管部门会同有关部门另行制定。</w:t>
      </w:r>
    </w:p>
    <w:p w14:paraId="40027CF8">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国务院和各省、自治区、直辖市人民政府的有关主管部门对贯彻执行本办法负有下列职责：</w:t>
      </w:r>
    </w:p>
    <w:p w14:paraId="762DBC7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一、制定本部门矿产资源开发利用和保护工作的规章、规定，并报同级地质矿产主管部门备案；</w:t>
      </w:r>
    </w:p>
    <w:p w14:paraId="77AB45D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二、根据本办法和有关法规，协助地质矿产主管部门对本部门矿山企业的矿产资源开发利用与保护工作进行监督管理；</w:t>
      </w:r>
    </w:p>
    <w:p w14:paraId="6DCDCA2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三、负责所属矿山企业的矿产储量管理，严格执行矿产储量核减的审批规定；</w:t>
      </w:r>
    </w:p>
    <w:p w14:paraId="2746AA4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四、总结和交流本部门矿山企业矿产资源合理开发利用和保护工作的经验。</w:t>
      </w:r>
    </w:p>
    <w:p w14:paraId="3D0F078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矿山企业的地质测量机构是本企业矿产资源开发利用与保护工作的监督管理机构，对执行本办法负有以下职责：</w:t>
      </w:r>
    </w:p>
    <w:p w14:paraId="496F612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一、做好生产勘探工作，提高矿产储量级别，为开采提供可靠地质依据；</w:t>
      </w:r>
    </w:p>
    <w:p w14:paraId="262B64A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二、对矿产资源开采的损失、贫化以及矿产资源综合开采利用进行监督；</w:t>
      </w:r>
    </w:p>
    <w:p w14:paraId="62F910E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三、对矿山企业的矿产储量进行管理；</w:t>
      </w:r>
    </w:p>
    <w:p w14:paraId="6378049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四、对违反矿产资源管理法规的行为及其责任者提出处理意见并可越级上报。</w:t>
      </w:r>
    </w:p>
    <w:p w14:paraId="740122C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矿山企业开发利用矿产资源，应当加强开采管理，选择合理的采矿方法和选矿方法，推广先进工艺技术，提高矿产资源利用水平。</w:t>
      </w:r>
    </w:p>
    <w:p w14:paraId="12B83643">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矿山企业在基建施工至矿山关闭的生产全过程中，都应当加强矿产资源的保护工作。</w:t>
      </w:r>
    </w:p>
    <w:p w14:paraId="5C2E7C03">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矿山企业应当按照国家有关法规及其主管部门的有关规章、规定，建立、健全本企业开发利用和保护矿产资源的各项制度，并切实加以贯彻落实。</w:t>
      </w:r>
    </w:p>
    <w:p w14:paraId="26A78B0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矿山开采设计要求的回采率、采矿贫化率和选矿回收率，应当列为考核矿山企业的重要年度计划指标。</w:t>
      </w:r>
    </w:p>
    <w:p w14:paraId="45C806F3">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矿山企业应当加强生产勘探，提高矿床勘探程度，为开采设计提供可靠依据；对具有工业价值的共生、伴生矿产应当系统查定和评价。</w:t>
      </w:r>
    </w:p>
    <w:p w14:paraId="35CC241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矿山企业的开采设计应当在可靠地质资料基础上进行。中段(或阶段)开采应当有总体设计，块段开采应当有采矿设计。</w:t>
      </w:r>
    </w:p>
    <w:p w14:paraId="55F301E6">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矿山的开拓、采准及采矿工程，必须按照开采设计进行施工。应当建立严格的施工验收制度，防止资源丢失。</w:t>
      </w:r>
    </w:p>
    <w:p w14:paraId="2ECE5CF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矿山企业必须按照设计进行开采，不准任意丢掉矿体。对开采应当加强监督检查，严防不应有的开采损失。</w:t>
      </w:r>
    </w:p>
    <w:p w14:paraId="3170D23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矿山企业在开采中必须加强对矿石损失、贫化的管理，建立定期检查制度，分析造成非正常损失、贫化的原因，制定措施，提高资源的回采率，降低贫化率。</w:t>
      </w:r>
    </w:p>
    <w:p w14:paraId="513211B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选矿(煤)厂应当根据设计要求定期进行选矿流程考察；对选矿回收率和精矿(洗精煤)质量没有达到设计指标的，应当查明原因，提出改进措施。</w:t>
      </w:r>
    </w:p>
    <w:p w14:paraId="39A336F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在采、选主要矿产的同时，对具有工业价值的共生、伴生矿产，在技术可行、经济合理的条件下，必须综合回收；对暂时不能综合回收利用的矿产，应当采取有效的保护措施。</w:t>
      </w:r>
    </w:p>
    <w:p w14:paraId="6807E7F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矿山企业应当加强对滞销矿石、粉矿、中矿、尾矿、废石和煤矸石的管理，积极研究其利用途径；暂时不能利用的，应当在节约土地的原则下，妥善堆放保存，防止其流失及污染环境。</w:t>
      </w:r>
    </w:p>
    <w:p w14:paraId="45BD60E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矿山企业对矿产储量的圈定、计算及开采，必须以批准的计算矿产储量的工业指标为依据，不得随意变动。需要变动的，应当上报实际资料，经主管部门审核同意后，报原审批单位批准。</w:t>
      </w:r>
    </w:p>
    <w:p w14:paraId="2B0F7DF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报销矿产储量，应当经矿山企业地质测量机构检查鉴定后，向矿山企业的主管部门提出申请。</w:t>
      </w:r>
    </w:p>
    <w:p w14:paraId="44F40DE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属正常报销的矿产储量，由矿山企业的主管部门审批。</w:t>
      </w:r>
    </w:p>
    <w:p w14:paraId="463193C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属非正常报销和转出的矿产储量，由矿山企业的主管部门会同同级地质矿产主管部门审批。</w:t>
      </w:r>
    </w:p>
    <w:p w14:paraId="7247DA2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同一采区应当一次申请报销的矿产储量，不得化整为零，分几次申请报销。</w:t>
      </w:r>
    </w:p>
    <w:p w14:paraId="010F5386">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地下开采的中段(水平)或露天采矿场内尚有未采完的保有矿产储量，未经地质测量机构检查验收和报销申请尚未批准之前，不准擅自废除坑道和其他工程。</w:t>
      </w:r>
    </w:p>
    <w:p w14:paraId="64520A1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矿山企业应当向其上级主管部门和地质矿产主管部门上报矿产资源开发利用情况报表。</w:t>
      </w:r>
    </w:p>
    <w:p w14:paraId="782EB69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矿山企业有下列情形之一的，应当追究有关人员的责任，或者由地质矿产主管部门责令其限期改正，并可处以相当于矿石损失50%以下的罚款，情节严重的，应当责令停产整顿或者吊销采矿许可证：</w:t>
      </w:r>
    </w:p>
    <w:p w14:paraId="28CEDD2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一、因开采设计、采掘计划的决策错误，造成资源损失的；</w:t>
      </w:r>
    </w:p>
    <w:p w14:paraId="30E0052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二、开采回采率、采矿贫化率和选矿回收率长期达不到设计要求，造成资源破坏损失的；</w:t>
      </w:r>
    </w:p>
    <w:p w14:paraId="4DE13E2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三、违反本办法第十三条、第十四条、第十七条、第十九条、第二十一条的规定，造成资源破坏损失的。</w:t>
      </w:r>
    </w:p>
    <w:p w14:paraId="7D15CFA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当事人对行政处罚决定不服的，可以在收到处罚通知之日起15日内，向人民法院起诉。对罚款的行政处罚决定期满不起诉又不履行的，由作出处罚决定的机关申请人民法院强制执行。</w:t>
      </w:r>
    </w:p>
    <w:p w14:paraId="631F0F8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矿山企业上报的矿产资源开发利用资料数据必须准确可靠。虚报瞒报的，依照《</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统计法》的有关规定追究责任。对保密资料，应当按照国家有关保密规定执行。</w:t>
      </w:r>
    </w:p>
    <w:p w14:paraId="0FA0B88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对乡镇集体矿山企业和个体采矿的矿产资源开发利用与保护工作的监督管理办法，由省、自治区、直辖市人民政府参照本办法制定。</w:t>
      </w:r>
    </w:p>
    <w:p w14:paraId="7A09A84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本办法由国务院地质矿产主管部门负责解释。</w:t>
      </w:r>
    </w:p>
    <w:p w14:paraId="5C7C1B80">
      <w:pPr>
        <w:ind w:firstLine="640" w:firstLineChars="200"/>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26A4E">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36B2A728">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5821D2A"/>
    <w:rsid w:val="003534FD"/>
    <w:rsid w:val="00393431"/>
    <w:rsid w:val="003B2A98"/>
    <w:rsid w:val="00B60946"/>
    <w:rsid w:val="00DA137A"/>
    <w:rsid w:val="00E66C19"/>
    <w:rsid w:val="0F64511B"/>
    <w:rsid w:val="21B426AC"/>
    <w:rsid w:val="26FA38A0"/>
    <w:rsid w:val="35B76E35"/>
    <w:rsid w:val="55DD7E9C"/>
    <w:rsid w:val="5E7A467B"/>
    <w:rsid w:val="63690A8C"/>
    <w:rsid w:val="64112E89"/>
    <w:rsid w:val="6D9A4ED7"/>
    <w:rsid w:val="75821D2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375</Words>
  <Characters>2144</Characters>
  <Lines>17</Lines>
  <Paragraphs>5</Paragraphs>
  <TotalTime>1</TotalTime>
  <ScaleCrop>false</ScaleCrop>
  <LinksUpToDate>false</LinksUpToDate>
  <CharactersWithSpaces>2514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2019-05-22T14:19:00Z</dcterms:created>
  <dc:creator>Administrator</dc:creator>
  <cp:lastModifiedBy>拱酝爻涣和</cp:lastModifiedBy>
  <dcterms:modified xsi:type="dcterms:W3CDTF">2025-06-29T11:00:01Z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ED85EBC1C6B442319CCB4160C4D36E89_12</vt:lpwstr>
  </property>
</Properties>
</file>