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B9D604">
      <w:pPr>
        <w:pStyle w:val="3"/>
        <w:jc w:val="center"/>
        <w:rPr>
          <w:rFonts w:ascii="Times New Roman" w:hAnsi="Times New Roman" w:cs="Times New Roman"/>
          <w:sz w:val="44"/>
          <w:szCs w:val="44"/>
        </w:rPr>
      </w:pPr>
      <w:bookmarkStart w:id="0" w:name="_GoBack"/>
      <w:bookmarkEnd w:id="0"/>
    </w:p>
    <w:p w14:paraId="485B2DE6">
      <w:pPr>
        <w:pStyle w:val="3"/>
        <w:jc w:val="center"/>
        <w:rPr>
          <w:rFonts w:ascii="Times New Roman" w:hAnsi="Times New Roman" w:cs="Times New Roman"/>
          <w:sz w:val="44"/>
          <w:szCs w:val="44"/>
        </w:rPr>
      </w:pPr>
      <w:r>
        <w:rPr>
          <w:rFonts w:ascii="Times New Roman" w:hAnsi="Times New Roman" w:cs="Times New Roman"/>
          <w:sz w:val="44"/>
          <w:szCs w:val="44"/>
        </w:rPr>
        <w:t>结汇、售汇及付汇管理规定</w:t>
      </w:r>
    </w:p>
    <w:p w14:paraId="4793FE42">
      <w:pPr>
        <w:pStyle w:val="3"/>
        <w:ind w:firstLine="640" w:firstLineChars="200"/>
        <w:rPr>
          <w:rFonts w:ascii="Times New Roman" w:hAnsi="Times New Roman" w:eastAsia="楷体_GB2312" w:cs="Times New Roman"/>
          <w:sz w:val="32"/>
          <w:szCs w:val="32"/>
        </w:rPr>
      </w:pPr>
    </w:p>
    <w:p w14:paraId="25499CC5">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C777ECB">
      <w:pPr>
        <w:pStyle w:val="2"/>
        <w:rPr>
          <w:rFonts w:ascii="方正黑体_GBK"/>
        </w:rPr>
      </w:pPr>
      <w:r>
        <w:rPr>
          <w:rFonts w:hint="eastAsia" w:ascii="方正黑体_GBK" w:hAnsi="Times New Roman" w:cs="Times New Roman"/>
        </w:rPr>
        <w:t>第一章　总则</w:t>
      </w:r>
    </w:p>
    <w:p w14:paraId="69781B7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为规范结汇、售汇及付汇行为，实现人民币在经常项目下可兑换，特制定本规定。</w:t>
      </w:r>
    </w:p>
    <w:p w14:paraId="0566883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经营外汇业务的银行应当按照本规定和中国人民银行、国家外汇管理局批准的业务范围办理结汇、售汇、开立外汇账户及对外支付业务。</w:t>
      </w:r>
    </w:p>
    <w:p w14:paraId="0910B67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境内机构外汇收入，除国家另有规定外应当及时调回境内。</w:t>
      </w:r>
    </w:p>
    <w:p w14:paraId="474D4E0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境内机构、居民个人、驻华机构及来华人员应当按照本规定办理结汇、购汇、开立外汇账户及对外支付。</w:t>
      </w:r>
    </w:p>
    <w:p w14:paraId="304937A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境内机构和居民个人通过经营外汇业务的银行办理对外收支时，应当按照《国际收支统计申报办法》及有关规定办理国际收支统计申报。</w:t>
      </w:r>
    </w:p>
    <w:p w14:paraId="16F74899">
      <w:pPr>
        <w:pStyle w:val="2"/>
        <w:rPr>
          <w:rFonts w:ascii="方正黑体_GBK"/>
        </w:rPr>
      </w:pPr>
      <w:r>
        <w:rPr>
          <w:rFonts w:hint="eastAsia" w:ascii="方正黑体_GBK" w:hAnsi="Times New Roman" w:cs="Times New Roman"/>
        </w:rPr>
        <w:t>第二章　经常项目下的结汇、售汇与付汇</w:t>
      </w:r>
    </w:p>
    <w:p w14:paraId="102E19B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除本规定第七条、第八条、第十条限定的范围和数量外，境内机构取得的下列外汇应当结汇：</w:t>
      </w:r>
    </w:p>
    <w:p w14:paraId="658B171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(一)出口或者先支后收转口货物及其他交易行为收入的外汇。其中用跟单信用证/保函和跟单托收方式结算的贸易出口外汇可以凭有效商业单据结汇，用汇款方式结算的贸易出口外汇持出口收汇核销单结汇；</w:t>
      </w:r>
    </w:p>
    <w:p w14:paraId="7417E1C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(二)境外贷款项下国际招标中标收入的外汇；</w:t>
      </w:r>
    </w:p>
    <w:p w14:paraId="71D73A0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(三)海关监管下境内经营免税商品收入的外汇；</w:t>
      </w:r>
    </w:p>
    <w:p w14:paraId="13D132E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(四)交通运输(包括各种运输方式)及港口(含空港)、邮电(不包括国际汇兑款)、广告、咨询、展览、寄售、维修等行业及各类代理业务提供商品或者服务收入的外汇；</w:t>
      </w:r>
    </w:p>
    <w:p w14:paraId="4AE28DA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(五)行政、司法机关收入的各项外汇规费、罚没款等；</w:t>
      </w:r>
    </w:p>
    <w:p w14:paraId="3EC1848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(六)土地使用权、著作权、商标权、专利权、非专利技术、商誉等无形资产转让收入的外汇，但上述无形资产属于个人所有的，可不结汇；</w:t>
      </w:r>
    </w:p>
    <w:p w14:paraId="6ADE329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(七)境外投资企业汇回的外汇利润、对外经援项下收回的外汇和境外资产的外汇收入；</w:t>
      </w:r>
    </w:p>
    <w:p w14:paraId="6FFE9EB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(八)对外索赔收入的外汇、退回的外汇保证金等；</w:t>
      </w:r>
    </w:p>
    <w:p w14:paraId="4AC3CD2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(九)出租房地产和其他外汇资产收入的外汇；</w:t>
      </w:r>
    </w:p>
    <w:p w14:paraId="1846610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(十)保险机构受理外汇保险所得外汇收入；</w:t>
      </w:r>
    </w:p>
    <w:p w14:paraId="10928C2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(十一)取得《经营外汇业务许可证》的金融机构经营外汇业务的净收入；</w:t>
      </w:r>
    </w:p>
    <w:p w14:paraId="25BC1B5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(十二)国外捐赠、资助及援助收入的外汇；</w:t>
      </w:r>
    </w:p>
    <w:p w14:paraId="1EB784F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(十三)国家外汇管理局规定的其他应当结汇的外汇。</w:t>
      </w:r>
    </w:p>
    <w:p w14:paraId="4A715B6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境内机构(不含外商投资企业)的下列外汇，可以向国家外汇管理局及其分支局(以下简称</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外汇局</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)申请，在经营外汇业务的银行开立外汇账户，按照规定办理结汇：</w:t>
      </w:r>
    </w:p>
    <w:p w14:paraId="0616682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(一)经营境外承包工程、向境外提供劳务、技术合作及其他服务业务的公司，在上述业务项目进行过程中收到的业务往来外汇；</w:t>
      </w:r>
    </w:p>
    <w:p w14:paraId="09FAAE3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(二)从事代理对外或者境外业务的机构代收代付的外汇；</w:t>
      </w:r>
    </w:p>
    <w:p w14:paraId="0D578C9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暂收待付或者暂收待结项下的外汇，包括境外汇入的投标保证金、履约保证金、先收后支的转口贸易收汇、邮电部门办理国际汇兑业务的外汇汇兑款、一类旅行社收取的国外旅游机构预付的外汇、铁路部门办理境外保价运输业务收取的外汇、海关收取的外汇保证金、抵押金等；</w:t>
      </w:r>
    </w:p>
    <w:p w14:paraId="462115D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(四)保险机构受理外汇保险、需向境外分保以及尚未结算的保费。</w:t>
      </w:r>
    </w:p>
    <w:p w14:paraId="7F1B8BE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上述各项外汇的净收入，应当按照规定的时间全部卖给外汇指定银行。</w:t>
      </w:r>
    </w:p>
    <w:p w14:paraId="0420FDB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捐赠、资助及援助合同规定用于境外支付的外汇，经外汇局批准后方可保留。</w:t>
      </w:r>
    </w:p>
    <w:p w14:paraId="6182A6C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下列范围的外汇，可以保留：</w:t>
      </w:r>
    </w:p>
    <w:p w14:paraId="2849BC4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(一)外国驻华使领馆、国际组织及其他境外法人驻华机构的外汇；</w:t>
      </w:r>
    </w:p>
    <w:p w14:paraId="5ACCBA1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(二)居民个人及来华人员的外汇。</w:t>
      </w:r>
    </w:p>
    <w:p w14:paraId="1C1D3CA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外商投资企业经常项目下外汇收入可在外汇局核定的最高金额以内保留外汇，超出部分应当卖给外汇指定银行，或者通过外汇调剂中心卖出。</w:t>
      </w:r>
    </w:p>
    <w:p w14:paraId="31CFED9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超过等值1万美元的现钞结汇，结汇人应当向外汇指定银行提供真实的身份证明和外汇来源证明，外汇指定银行予以结汇登记后报外汇局备案。</w:t>
      </w:r>
    </w:p>
    <w:p w14:paraId="4D3BA41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本规定第七、八、九、十条允许开立外汇账户的境内机构和居民个人、驻华机构及来华人员，应当按照外汇账户管理的有关规定，到经营外汇业务的银行办理开户手续。</w:t>
      </w:r>
    </w:p>
    <w:p w14:paraId="29E91C8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境内机构下列贸易及非贸易经营性对外支付用汇，持与支付方式相应的有效商业单据和所列有效凭证从其外汇账户中支付或者到外汇指定银行兑付：</w:t>
      </w:r>
    </w:p>
    <w:p w14:paraId="4C2BA70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用跟单信用证/保函方式结算的贸易进口，如需在开证时购汇，持进口合同、进口付汇核销单、开证申请书；如需在付汇时购汇，还应当提供信用证结算方式要求的有效商业单据。核销时必须凭正本进口货物报关单办理；</w:t>
      </w:r>
    </w:p>
    <w:p w14:paraId="6E16906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(二)用跟单托收方式结算的贸易进口，持进口合同、进口付汇核销单、进口付汇通知书及跟单托收结算方式要求的有效商业单据。核销时必须凭正本进口货物报关单办理；</w:t>
      </w:r>
    </w:p>
    <w:p w14:paraId="4479198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(三)用汇款方式结算的贸易进口，持进口合同、进口付汇核销单、发票、正本进口货物报关单、正本运输单据，若提单上的</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提货人</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和报关单上的</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经营单位</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与进口合同中列明的买方名称不一致，还应当提供两者间的代理协议；</w:t>
      </w:r>
    </w:p>
    <w:p w14:paraId="321F70E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(四)进口项下不超过合同总金额的15%或者虽超过15%但未超过等值10万美元的预付货款，持进口合同、进口付汇核销单；</w:t>
      </w:r>
    </w:p>
    <w:p w14:paraId="0F2044E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上述(一)至(四)项下进口，实行进口配额管理或者特定产品进口管理的货物，还应当提供有关部门签发的许可证或者进口证明；进口实行自动登记制的货物，还应当提供填好的登记表格。</w:t>
      </w:r>
    </w:p>
    <w:p w14:paraId="1BA01F7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(五)进口项下的运输费、保险费，持进口合同、正本运输费收据和保险费收据；</w:t>
      </w:r>
    </w:p>
    <w:p w14:paraId="68198FC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出口项下不超过合同总金额2%的暗佣(暗扣)和5%的明佣(明扣)或者虽超过上述比例但未超过等值1万美元的佣金，持出口合同或者佣金协议、结汇水单或者收账通知；出口项下的运输费、保险费，持出口合同、正本运输费收据和保险费收据；</w:t>
      </w:r>
    </w:p>
    <w:p w14:paraId="6020729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(七)进口项下的尾款，持进口合同、进口付汇核销单、验货合格证明；</w:t>
      </w:r>
    </w:p>
    <w:p w14:paraId="16C4E64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(八)进出口项下的资料费、技术费、信息费等从属费用，持进口合同或者出口合同、进口付汇核销单或者出口收汇核销单、发票或者收费单据及进口或者出口单位负责人签字的说明书；</w:t>
      </w:r>
    </w:p>
    <w:p w14:paraId="0686785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(九)从保税区购买商品以及购买国外入境展览展品的用汇，持(一)至(八)项规定的有效凭证和有效商业单据；</w:t>
      </w:r>
    </w:p>
    <w:p w14:paraId="2BE583C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(十)专利权、著作权、商标、计算机软件等无形资产的进口，持进口合同或者协议；</w:t>
      </w:r>
    </w:p>
    <w:p w14:paraId="1125366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(十一)出口项下对外退赔外汇，持结汇水单或者收账通知、索赔协议、理赔证明和已冲减出口收汇核销的证明；</w:t>
      </w:r>
    </w:p>
    <w:p w14:paraId="794AD32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(十二)境外承包工程所需的投标保证金持投标文件，履约保证金及垫付工程款项持合同。</w:t>
      </w:r>
    </w:p>
    <w:p w14:paraId="7E3C5ED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境内机构下列贸易及非贸易经营性对外支付，经营外汇业务的银行凭用户提供的支付清单先从其外汇账户中支付或者兑付，事后核查：</w:t>
      </w:r>
    </w:p>
    <w:p w14:paraId="0A9F93F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(一)经国务院批准的免税品公司按照规定范围经营免税商品的进口支付；</w:t>
      </w:r>
    </w:p>
    <w:p w14:paraId="40A827E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(二)民航、海运、铁道部门(机构)支付境外国际联运费、设备维修费、站场港口使用费、燃料供应费、保险费、非融资性租赁费及其他服务费用；</w:t>
      </w:r>
    </w:p>
    <w:p w14:paraId="2641383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(三)民航、海运、铁道部门(机构)支付国际营运人员伙食、津贴补助；</w:t>
      </w:r>
    </w:p>
    <w:p w14:paraId="4FD24A3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(四)邮电部门支付国际邮政、电信业务费用。</w:t>
      </w:r>
    </w:p>
    <w:p w14:paraId="0840CA6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境内机构下列对外支付用汇，由外汇局审核其真实性后，从其外汇账户中支付或者到外汇指定银行兑付：</w:t>
      </w:r>
    </w:p>
    <w:p w14:paraId="2DB547F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(一)超过本规定第十三条(四)规定比例和金额的预付货款；</w:t>
      </w:r>
    </w:p>
    <w:p w14:paraId="15510FE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(二)超过本规定第十三条(六)规定比例和金额的佣金；</w:t>
      </w:r>
    </w:p>
    <w:p w14:paraId="3B1D844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(三)转口贸易项下先支后收的对外支付；</w:t>
      </w:r>
    </w:p>
    <w:p w14:paraId="5B87B1A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(四)偿还外债利息；</w:t>
      </w:r>
    </w:p>
    <w:p w14:paraId="397D0B9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(五)超过等值1万美元的现钞提取。</w:t>
      </w:r>
    </w:p>
    <w:p w14:paraId="4218C59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境内机构偿还境内中资金融机构外汇贷款利息，持《外汇(转)贷款登记证》、借贷合同及债权人的付息通知单，从其外汇账户中支付或者到外汇指定银行兑付。</w:t>
      </w:r>
    </w:p>
    <w:p w14:paraId="3477F00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财政预算内的机关、事业单位和社会团体的非贸易非经营性用汇，按照《非贸易非经营性外汇财务管理暂行规定》办理。</w:t>
      </w:r>
    </w:p>
    <w:p w14:paraId="3D2D842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财政预算外的境内机构下列非经营性用汇，持所列有效凭证从其外汇账户中支付或者到外汇指定银行兑付：</w:t>
      </w:r>
    </w:p>
    <w:p w14:paraId="69E40B0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(一)在境外举办展览、招商、培训及拍摄影视片等用汇，持合同、境外机构的支付通知书及主管部门批准文件；</w:t>
      </w:r>
    </w:p>
    <w:p w14:paraId="6F8E4AE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(二)对外宣传费、对外援助费、对外捐赠外汇、国际组织会费、参加国际会议的注册费、报名费，持主管部门的批准文件及有关函件；</w:t>
      </w:r>
    </w:p>
    <w:p w14:paraId="68EA751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(三)在境外设立代表处或者办事机构的开办费和年度预算经费，持主管部门批准设立该机构的批准文件和经费预算书；</w:t>
      </w:r>
    </w:p>
    <w:p w14:paraId="41E3D31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(四)国家教委国外考试协调机构支付境外的考试费，持对外合同和国外考试机构的账单或者结算通知书；</w:t>
      </w:r>
    </w:p>
    <w:p w14:paraId="2955B4B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(五)在境外办理商标、版权注册、申请专利和法律、咨询服务等所需费用，持合同和发票；</w:t>
      </w:r>
    </w:p>
    <w:p w14:paraId="4CD5DFE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(六)因公出国费用，持国家授权部门出国任务批件。</w:t>
      </w:r>
    </w:p>
    <w:p w14:paraId="6183335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上述(一)至(六)项以外的非经营性用汇，由外汇局审核其真实性以后，从其外汇账户中支付或者到外汇指定银行兑付。</w:t>
      </w:r>
    </w:p>
    <w:p w14:paraId="3DD85A4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居民个人的因私用汇，按照《境内居民因私兑换外汇办法》和《境内居民外汇存款汇出境外的规定》办理。</w:t>
      </w:r>
    </w:p>
    <w:p w14:paraId="555C6B1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居民个人移居出境后，下列合法人民币收益，持本人身份证明和所列有效凭证到外汇局授权的外汇指定银行兑付：</w:t>
      </w:r>
    </w:p>
    <w:p w14:paraId="5D4D5D9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(一)人民币存款利息，持人民币存款利息清单；</w:t>
      </w:r>
    </w:p>
    <w:p w14:paraId="2343735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(二)房产出租收入的租金，持房产租赁合同和房产出租管理部门的证明；</w:t>
      </w:r>
    </w:p>
    <w:p w14:paraId="60D6098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(三)其他资产的收益，持有关的证明材料和收益清单。</w:t>
      </w:r>
    </w:p>
    <w:p w14:paraId="4467F6E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外商投资企业外方投资者依法纳税后的利润、红利的汇出，持董事会利润分配决议书，从其外汇账户中支付或者到外汇指定银行兑付。</w:t>
      </w:r>
    </w:p>
    <w:p w14:paraId="5C7A2AF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外商投资企业中外籍、华侨、港澳台职工依法纳税后的人民币工资及其他正当收益，持证明材料到外汇指定银行兑付。</w:t>
      </w:r>
    </w:p>
    <w:p w14:paraId="3245097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按照规定应当以外币支付的股息，依法纳税后持董事会利润分配决议书从其外汇账户中支付或者到外汇指定银行兑付。</w:t>
      </w:r>
    </w:p>
    <w:p w14:paraId="0C0FF0C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驻华机构及来华人员的合法人民币收入，需汇出境外时，持证明材料和收费清单到外汇局授权的外汇指定银行兑付。</w:t>
      </w:r>
    </w:p>
    <w:p w14:paraId="0917FBE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驻华机构及来华人员从境外携入或者在境内购买的自用物品、设备、用具等，出售后所得人民币款项，需汇出境外时，持工商登记证或者本人身份证明和出售凭证到外汇局授权的外汇指定银行兑付。</w:t>
      </w:r>
    </w:p>
    <w:p w14:paraId="432434B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临时来华的外国人、华侨、港澳台同胞出境时未用完的人民币，可以凭本人护照、原兑换水单(有效期为6个月)兑回外汇，携出境外。</w:t>
      </w:r>
    </w:p>
    <w:p w14:paraId="2EB5F12F">
      <w:pPr>
        <w:pStyle w:val="2"/>
        <w:rPr>
          <w:rFonts w:ascii="方正黑体_GBK"/>
        </w:rPr>
      </w:pPr>
      <w:r>
        <w:rPr>
          <w:rFonts w:hint="eastAsia" w:ascii="方正黑体_GBK" w:hAnsi="Times New Roman" w:cs="Times New Roman"/>
        </w:rPr>
        <w:t>第三章　资本项目下的结汇、售汇与付汇</w:t>
      </w:r>
    </w:p>
    <w:p w14:paraId="72E6C8A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境内机构资本项目下的外汇应当在经营外汇业务的银行开立外汇账户。</w:t>
      </w:r>
    </w:p>
    <w:p w14:paraId="6546B00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境内机构下列范围内的外汇，未经外汇局批准，不得结汇：</w:t>
      </w:r>
    </w:p>
    <w:p w14:paraId="2620961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(一)境外法人或自然人作为投资汇入的外汇；</w:t>
      </w:r>
    </w:p>
    <w:p w14:paraId="1719F03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(二)境外借款及发行外币债券、股票取得的外汇；</w:t>
      </w:r>
    </w:p>
    <w:p w14:paraId="001A5B8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(三)经国家外汇管理局批准的其他资本项目下外汇收入。</w:t>
      </w:r>
    </w:p>
    <w:p w14:paraId="6A5FB7B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除出口押汇外的国内外汇贷款和中资企业借入的国际商业贷款不得结汇。</w:t>
      </w:r>
    </w:p>
    <w:p w14:paraId="2446C34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境内机构向境外出售房地产及其他资产收入的外汇，除本规定第十条限定的数额外应当卖给外汇指定银行。</w:t>
      </w:r>
    </w:p>
    <w:p w14:paraId="2EB8DFC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境内机构偿还境内中资金融机构外汇贷款本金，持《外汇(转)贷款登记证》、借贷合同及债权机构的还本通知单，从其外汇账户中支付或者到外汇指定银行兑付。</w:t>
      </w:r>
    </w:p>
    <w:p w14:paraId="6EFFC22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境内机构资本项目下的下列用汇，持所列有效凭证向外汇局申请，凭外汇局的核准件从其外汇账户中支付或者到外汇指定银行兑付：</w:t>
      </w:r>
    </w:p>
    <w:p w14:paraId="53147EF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(一)偿还外债本金，持《外债登记证》、借贷合同及债权机构还本通知单；</w:t>
      </w:r>
    </w:p>
    <w:p w14:paraId="30D4A9F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(二)对外担保履约用汇，持担保合同、外汇局核发的《外汇担保登记证》及境外机构支付通知；</w:t>
      </w:r>
    </w:p>
    <w:p w14:paraId="1EDD52A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(三)境外投资资金的汇出，持国家主管部门的批准文件和投资合同；</w:t>
      </w:r>
    </w:p>
    <w:p w14:paraId="6874F90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(四)外商投资企业的中方投资者经批准需以外汇投入的注册资金，持国家主管部门的批准文件和合同。</w:t>
      </w:r>
    </w:p>
    <w:p w14:paraId="16B265F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外商投资企业的外汇资本金的增加、转让或者以其他方式处置，持董事会决议，经外汇局核准后，从其外汇账户中支付或者持外汇局核发的售汇通知单到外汇指定银行兑付。</w:t>
      </w:r>
    </w:p>
    <w:p w14:paraId="453D776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投资性外商投资企业外汇资本金在境内投资及外方所得利润在境内增资或者再投资，持外汇局核准件办理。</w:t>
      </w:r>
    </w:p>
    <w:p w14:paraId="7B568EA4">
      <w:pPr>
        <w:pStyle w:val="2"/>
        <w:rPr>
          <w:rFonts w:ascii="方正黑体_GBK"/>
        </w:rPr>
      </w:pPr>
      <w:r>
        <w:rPr>
          <w:rFonts w:hint="eastAsia" w:ascii="方正黑体_GBK" w:hAnsi="Times New Roman" w:cs="Times New Roman"/>
        </w:rPr>
        <w:t>第四章　结汇、售汇及付汇的监管</w:t>
      </w:r>
    </w:p>
    <w:p w14:paraId="46F6C7B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外商投资企业可以在外汇指定银行办理结汇和售汇，也可以在外汇调剂中心买卖外汇，其他境内机构、居民个人、驻华机构及来华人员只能在外汇指定银行办理结汇和售汇。</w:t>
      </w:r>
    </w:p>
    <w:p w14:paraId="65B9CEF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从外汇账户中对外支付时，经营外汇业务的银行应当根据规定的外汇账户收支范围及本规定第二、三章相应的规定进行审核，办理支付。</w:t>
      </w:r>
    </w:p>
    <w:p w14:paraId="352D971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外汇指定银行办理售汇和付汇后，应当在相应的有效凭证和有效商业单据上签章后留存备查。</w:t>
      </w:r>
    </w:p>
    <w:p w14:paraId="7E88A85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外汇指定银行应当根据中国人民银行每日公布的人民币汇率中间价和规定的买卖差价幅度，确定对客户的外汇买卖价格，办理结汇和售汇业务。</w:t>
      </w:r>
    </w:p>
    <w:p w14:paraId="5AF0B95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从外汇账户中支付或者购汇支付，应当在有关结算方式或者合同规定的日期办理，不得提前对外付款；除用于还本付息的外汇和信用证/保函保证金外，不得提前购汇。</w:t>
      </w:r>
    </w:p>
    <w:p w14:paraId="7276DBD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为使有远期支付合同或者偿债协议的用汇单位避免汇率风险，外汇指定银行可以按照有关规定为其办理人民币与外币的远期买卖及其他保值业务。</w:t>
      </w:r>
    </w:p>
    <w:p w14:paraId="34EDF11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易货贸易项下进口，未经外汇局批准，不得购汇或者从外汇账户支付。</w:t>
      </w:r>
    </w:p>
    <w:p w14:paraId="2EB5963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经营外汇业务的银行应当按照规定向外汇局报送结汇、售汇及付汇情况报表。</w:t>
      </w:r>
    </w:p>
    <w:p w14:paraId="0722713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外汇指定银行应当建立结售汇内部监管制度，遇有结售汇异常情况，应当及时向国家外汇管理局当地分支局报告。</w:t>
      </w:r>
    </w:p>
    <w:p w14:paraId="6AA1AE9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境内机构应当在其注册地选择经营外汇业务的银行开立外汇账户、按照本规定办理结汇、购汇、付汇业务。境内机构在异地和境外开立外汇账户，应当向外汇局申请。</w:t>
      </w:r>
    </w:p>
    <w:p w14:paraId="4BDAA8F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外商投资企业经常项下的外汇收入，经批准可以在注册地选择经营外汇业务的银行开立外汇结算账户。</w:t>
      </w:r>
    </w:p>
    <w:p w14:paraId="0980F0E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经营外汇业务的银行和有结汇、购汇、付汇业务的境内机构，应当无条件接受外汇局的监督、检查，并出示、提供有关材料。对违反本规定的，外汇局可对其处以警告、没收违法所得、罚款的处罚；对违反本规定，情节严重的经营外汇业务的银行，外汇局可对其处以暂停结售汇业务的处罚。</w:t>
      </w:r>
    </w:p>
    <w:p w14:paraId="2B421D3A">
      <w:pPr>
        <w:pStyle w:val="2"/>
        <w:rPr>
          <w:rFonts w:ascii="方正黑体_GBK"/>
        </w:rPr>
      </w:pPr>
      <w:r>
        <w:rPr>
          <w:rFonts w:hint="eastAsia" w:ascii="方正黑体_GBK" w:hAnsi="Times New Roman" w:cs="Times New Roman"/>
        </w:rPr>
        <w:t>第五章　附则</w:t>
      </w:r>
    </w:p>
    <w:p w14:paraId="2C596D6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本规定由国家外汇管理局负责解释。</w:t>
      </w:r>
    </w:p>
    <w:p w14:paraId="026DD134">
      <w:pPr>
        <w:ind w:firstLine="640" w:firstLineChars="200"/>
        <w:rPr>
          <w:rFonts w:hint="eastAsia" w:ascii="仿宋_GB2312" w:eastAsia="仿宋_GB231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本规定自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ECBE5">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B9C77AA">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C6F0557"/>
    <w:rsid w:val="004E06C7"/>
    <w:rsid w:val="00661F2F"/>
    <w:rsid w:val="00727385"/>
    <w:rsid w:val="00906858"/>
    <w:rsid w:val="00EA3BB7"/>
    <w:rsid w:val="00F246C6"/>
    <w:rsid w:val="02CF68CD"/>
    <w:rsid w:val="12117BBF"/>
    <w:rsid w:val="161920FD"/>
    <w:rsid w:val="1AFC0548"/>
    <w:rsid w:val="1C6F0557"/>
    <w:rsid w:val="20696116"/>
    <w:rsid w:val="2B302198"/>
    <w:rsid w:val="2BD00CAC"/>
    <w:rsid w:val="2D4413FB"/>
    <w:rsid w:val="31472C78"/>
    <w:rsid w:val="34A26E08"/>
    <w:rsid w:val="37DE4CBC"/>
    <w:rsid w:val="51D82B9F"/>
    <w:rsid w:val="6C5E570F"/>
    <w:rsid w:val="6C9874C1"/>
    <w:rsid w:val="761603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838</Words>
  <Characters>4777</Characters>
  <Lines>39</Lines>
  <Paragraphs>11</Paragraphs>
  <TotalTime>2</TotalTime>
  <ScaleCrop>false</ScaleCrop>
  <LinksUpToDate>false</LinksUpToDate>
  <CharactersWithSpaces>5604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2019-05-22T14:16:00Z</dcterms:created>
  <dc:creator>Administrator</dc:creator>
  <cp:lastModifiedBy>拱酝爻涣和</cp:lastModifiedBy>
  <dcterms:modified xsi:type="dcterms:W3CDTF">2025-06-29T10:58:12Z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B60E9D7BAA78495B91F3D72DE41DF771_12</vt:lpwstr>
  </property>
</Properties>
</file>