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6A9B6">
      <w:pPr>
        <w:pStyle w:val="10"/>
        <w:ind w:firstLine="640" w:firstLineChars="200"/>
        <w:rPr>
          <w:rFonts w:ascii="Times New Roman" w:hAnsi="Times New Roman" w:eastAsia="仿宋_GB2312" w:cs="Times New Roman"/>
          <w:sz w:val="32"/>
          <w:szCs w:val="32"/>
        </w:rPr>
      </w:pPr>
      <w:bookmarkStart w:id="0" w:name="_GoBack"/>
      <w:bookmarkEnd w:id="0"/>
    </w:p>
    <w:p w14:paraId="3F5CD69C">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行政区域边界争议处理条例</w:t>
      </w:r>
    </w:p>
    <w:p w14:paraId="1A5E7F04">
      <w:pPr>
        <w:pStyle w:val="10"/>
        <w:ind w:firstLine="640" w:firstLineChars="200"/>
        <w:jc w:val="center"/>
        <w:rPr>
          <w:rFonts w:ascii="Times New Roman" w:hAnsi="Times New Roman" w:cs="Times New Roman"/>
          <w:sz w:val="32"/>
          <w:szCs w:val="32"/>
        </w:rPr>
      </w:pPr>
    </w:p>
    <w:p w14:paraId="021BA12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ABFBEF1">
      <w:pPr>
        <w:pStyle w:val="3"/>
        <w:rPr>
          <w:sz w:val="32"/>
          <w:szCs w:val="32"/>
        </w:rPr>
      </w:pPr>
      <w:r>
        <w:rPr>
          <w:rFonts w:ascii="Times New Roman" w:hAnsi="Times New Roman" w:cs="Times New Roman"/>
          <w:sz w:val="32"/>
          <w:szCs w:val="32"/>
        </w:rPr>
        <w:t>第一章　总则</w:t>
      </w:r>
    </w:p>
    <w:p w14:paraId="260F90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为了妥善处理行政区域边界争议，以利于安定团结，保障</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现代化建设的顺利进行，制定本条例。</w:t>
      </w:r>
    </w:p>
    <w:p w14:paraId="1EBF8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本条例所称的边界争议是指省、自治区、直辖市之间，自治州、县、自治县、市、市辖区之间，乡、民族乡、镇之间，双方人民政府对毗邻行政区域界线的争议。</w:t>
      </w:r>
    </w:p>
    <w:p w14:paraId="5EC52B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处理因行政区域界线不明确而发生的边界争议，应当按照有利于各族人民的团结，有利于国家的统一管理，有利于保护、开发和利用自然资源的原则，由争议双方人民政府从实际情况出发，兼顾当地双方群众的生产和生活，实事求是，互谅互让地协商解决。经争议双方协商未达成协议的，由争议双方的上级人民政府决定。必要时，可以按照行政区划管理的权限，通过变更行政区域的方法解决。</w:t>
      </w:r>
    </w:p>
    <w:p w14:paraId="40E9CB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解决边界争议，必须明确划定争议地区的行政区域界线。</w:t>
      </w:r>
    </w:p>
    <w:p w14:paraId="39071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下列已明确划定或者核定的行政区域界线，必须严格遵守：</w:t>
      </w:r>
    </w:p>
    <w:p w14:paraId="425622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(一)根据行政区划管理的权限，上级人民政府在确定行政区划时明确划定的界线；</w:t>
      </w:r>
    </w:p>
    <w:p w14:paraId="6CE8F7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(二)由双方人民政府或者双方的上级人民政府明确划定的争议地区的界线；</w:t>
      </w:r>
    </w:p>
    <w:p w14:paraId="3EEE80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(三)发生边界争议之前，由双方人民政府核定一致的界线。</w:t>
      </w:r>
    </w:p>
    <w:p w14:paraId="35CEE1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争议双方人民政府的负责人，必须对国家和人民负责，顾全大局，及时解决边界争议，不得推诿和拖延。</w:t>
      </w:r>
    </w:p>
    <w:p w14:paraId="6A6E2F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民政部是国务院处理边界争议的主管部门。</w:t>
      </w:r>
    </w:p>
    <w:p w14:paraId="7BC5ED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县级以上的地方各级人民政府的民政部门是本级人民政府处理边界争议的主管部门。</w:t>
      </w:r>
    </w:p>
    <w:p w14:paraId="1BEF6231">
      <w:pPr>
        <w:pStyle w:val="3"/>
        <w:bidi w:val="0"/>
      </w:pPr>
      <w:r>
        <w:t>第二章　处理依据</w:t>
      </w:r>
    </w:p>
    <w:p w14:paraId="4B5D27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下列文件和材料，作为处理边界争议的依据：</w:t>
      </w:r>
    </w:p>
    <w:p w14:paraId="2F6255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(一)国务院(含政务院及其授权的主管部门)批准的行政区划文件或者边界线地图；</w:t>
      </w:r>
    </w:p>
    <w:p w14:paraId="57CCF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(二)省、自治区、直辖市人民政府批准的不涉及毗邻省、自治区、直辖市的行政区划文件或者边界线地图；</w:t>
      </w:r>
    </w:p>
    <w:p w14:paraId="65752B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(三)争议双方的上级人民政府(含军政委员会、人民行政公署)解决边界争议的文件和所附边界线地图；</w:t>
      </w:r>
    </w:p>
    <w:p w14:paraId="77A452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(四)争议双方人民政府解决边界争议的协议和所附边界线地图；</w:t>
      </w:r>
    </w:p>
    <w:p w14:paraId="7E1793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(五)发生边界争议之前，经双方人民政府核定一致的边界线文件或者盖章的边界线地图。</w:t>
      </w:r>
    </w:p>
    <w:p w14:paraId="57F6EE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解放以后直至发生边界争议之前的下列文件和材料，作为处理边界争议的参考：</w:t>
      </w:r>
    </w:p>
    <w:p w14:paraId="68F17C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(一)根据有关法律的规定，确定自然资源权属时核发的证书；</w:t>
      </w:r>
    </w:p>
    <w:p w14:paraId="3D3A76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(二)有关人民政府在争议地区行使行政管辖的文件和材料；</w:t>
      </w:r>
    </w:p>
    <w:p w14:paraId="0922EA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(三)争议双方的上级人民政府及其所属部门，或者争议双方人民政府及其所属部门，开发争议地区自然资源的决定或者协议；</w:t>
      </w:r>
    </w:p>
    <w:p w14:paraId="27D730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(四)根据有关政策的规定，确定土地权属的材料。</w:t>
      </w:r>
    </w:p>
    <w:p w14:paraId="1B324B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本条例第七条、第八条规定以外的任何文件和材料，均不作为处理边界争议的依据和参考。</w:t>
      </w:r>
    </w:p>
    <w:p w14:paraId="4AFEC836">
      <w:pPr>
        <w:pStyle w:val="3"/>
        <w:bidi w:val="0"/>
      </w:pPr>
      <w:r>
        <w:t>第三章　处理程序</w:t>
      </w:r>
    </w:p>
    <w:p w14:paraId="568E43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边界争议发生后，争议双方人民政府必须采取有效措施防止事态扩大。任何一方都不得往争议地区迁移居民，不得在争议地区设置政权组织，不准破坏自然资源。</w:t>
      </w:r>
    </w:p>
    <w:p w14:paraId="5AB7E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严禁聚众闹事、械斗伤人，严禁抢夺和破坏国家、集体和个人的财产。发生群众纠纷时，争议双方人民政府必须立即派人到现场调查处理，并报告争议双方的上一级人民政府。</w:t>
      </w:r>
    </w:p>
    <w:p w14:paraId="74925A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省、自治区、直辖市之间的边界争议，由有关省、自治区、直辖市人民政府协商解决；经协商未达成协议的，双方应当将各自的解决方案并附边界线地形图，报国务院处理。</w:t>
      </w:r>
    </w:p>
    <w:p w14:paraId="7DC339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国务院受理的省、自治区、直辖市之间的边界争议，由民政部会同国务院有关部门调解；经调解未达成协议的，由民政部会同国务院有关部门提出解决方案，报国务院决定。</w:t>
      </w:r>
    </w:p>
    <w:p w14:paraId="72F2C5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省、自治区、直辖市境内的边界争议，由争议双方人民政府协商解决；经协商未达成协议的，双方应当将各自的解决方案并附边界线地形图，报双方的上一级人民政府处理。</w:t>
      </w:r>
    </w:p>
    <w:p w14:paraId="229A6D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争议双方的上一级人民政府受理的边界争议，由其民政部门会同有关部门调解；经调解未达成协议的，由民政部门会同有关部门提出解决方案，报本级人民政府决定。</w:t>
      </w:r>
    </w:p>
    <w:p w14:paraId="6C62EB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经双方人民政府协商解决的边界争议，由双方人民政府的代表在边界协议和所附边界线地形图上签字。</w:t>
      </w:r>
    </w:p>
    <w:p w14:paraId="6FB225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争议双方人民政府达成的边界协议，或者争议双方的上级人民政府解决边界争议的决定，凡不涉及自然村隶属关系变更的，自边界协议签字或者上级人民政府解决边界争议的决定下达之日起生效。</w:t>
      </w:r>
    </w:p>
    <w:p w14:paraId="46D2EB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争议双方人民政府达成的边界协议，或者上级人民政府解决边界争议的决定，凡涉及自然村隶属关系变更的，必须按照《国务院关于行政区管理的规定》中有关行政区域界线变更的审批权限和程序办理。</w:t>
      </w:r>
    </w:p>
    <w:p w14:paraId="2E0278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争议双方人民政府达成的边界协议，或者争议双方的上级人民政府解决边界争议的决定生效后，由争议双方人民政府联合实地勘测边界线，标绘大比例尺的边界线地形图。</w:t>
      </w:r>
    </w:p>
    <w:p w14:paraId="2A989D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实地勘测的边界线地形图，经双方人民政府盖章后，代替边界协议或者上级人民政府解决边界争议的决定所附的边界线地形图。</w:t>
      </w:r>
    </w:p>
    <w:p w14:paraId="4302AB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人民政府处理的边界争议，必须履行备案手续。争议双方人民政府达成的边界协议，由双方人民政府联合上报备案；争议双方的上级人民政府解决边界争议的决定，由作出决定的人民政府上报备案。上报备案时，应当附实地勘测的边界线地形图。</w:t>
      </w:r>
    </w:p>
    <w:p w14:paraId="014936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省、自治区、直辖市之间的边界协议，上报国务院备案。</w:t>
      </w:r>
    </w:p>
    <w:p w14:paraId="787C35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自治州、自治县的边界协议或者上级人民政府解决边界争议的决定，逐级上报国务院备案。</w:t>
      </w:r>
    </w:p>
    <w:p w14:paraId="60953F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县、市、市辖区的边界协议或者上级人民政府解决边界争议的决定，逐级上报民政部备案。</w:t>
      </w:r>
    </w:p>
    <w:p w14:paraId="662C2D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乡、民族乡、镇的边界协议或者上级人民政府解决边界争议的决定，逐级上报本省(自治区、直辖市)人民政府备案。</w:t>
      </w:r>
    </w:p>
    <w:p w14:paraId="0A82C8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边界争议解决后，争议双方人民政府必须认真执行边界协议或者上级人民政府解决边界争议的决定，向有关地区的群众公布正式划定的行政区域界线，教育当地干部和群众严格遵守。</w:t>
      </w:r>
    </w:p>
    <w:p w14:paraId="48C6F4D5">
      <w:pPr>
        <w:pStyle w:val="3"/>
        <w:bidi w:val="0"/>
      </w:pPr>
      <w:r>
        <w:t>第四章　罚则</w:t>
      </w:r>
    </w:p>
    <w:p w14:paraId="4E35E1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争议双方人民政府的负责人，违反本条例的规定，玩忽职守，致使公共财产、国家和人民利益遭受较大损失的，应当给予行政处分；造成重大损失，构成犯罪的，依法追究刑事责任。</w:t>
      </w:r>
    </w:p>
    <w:p w14:paraId="78F15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违反本条例第十条的规定，情节较重的，对直接责任人员和其他肇事者，分别给予行政处分、治安管理处罚；情节严重，构成犯罪的，依法追究刑事责任。</w:t>
      </w:r>
    </w:p>
    <w:p w14:paraId="3163E3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行政区域边界划定后，违反本条例的规定越界侵权造成损害的，当事一方可以向有管辖权的人民法院起诉。</w:t>
      </w:r>
    </w:p>
    <w:p w14:paraId="06B29841">
      <w:pPr>
        <w:pStyle w:val="3"/>
        <w:bidi w:val="0"/>
        <w:rPr>
          <w:rFonts w:hint="eastAsia" w:eastAsia="方正黑体_GBK"/>
          <w:lang w:eastAsia="zh-CN"/>
        </w:rPr>
      </w:pPr>
      <w:r>
        <w:t>第五章　附则</w:t>
      </w:r>
    </w:p>
    <w:p w14:paraId="1D5EDA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本条例由民政部负责解释。</w:t>
      </w:r>
    </w:p>
    <w:p w14:paraId="4697672F">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38F9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500A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8500A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0E7C3841"/>
    <w:rsid w:val="134A1994"/>
    <w:rsid w:val="155E2CB3"/>
    <w:rsid w:val="18413C16"/>
    <w:rsid w:val="19DB6C33"/>
    <w:rsid w:val="1C9212F7"/>
    <w:rsid w:val="22DD4281"/>
    <w:rsid w:val="26CA1A3A"/>
    <w:rsid w:val="28F8723D"/>
    <w:rsid w:val="2DBE0D65"/>
    <w:rsid w:val="2FF20DF5"/>
    <w:rsid w:val="32252208"/>
    <w:rsid w:val="33CF5811"/>
    <w:rsid w:val="386D21AD"/>
    <w:rsid w:val="3A7915E5"/>
    <w:rsid w:val="3C8A259F"/>
    <w:rsid w:val="3CDF39C7"/>
    <w:rsid w:val="3D762392"/>
    <w:rsid w:val="3F800236"/>
    <w:rsid w:val="40DC5AC3"/>
    <w:rsid w:val="41B857FD"/>
    <w:rsid w:val="4361706F"/>
    <w:rsid w:val="43CA1521"/>
    <w:rsid w:val="444B0E8A"/>
    <w:rsid w:val="47A250A3"/>
    <w:rsid w:val="4EDF3D2B"/>
    <w:rsid w:val="4EED79F5"/>
    <w:rsid w:val="5080370D"/>
    <w:rsid w:val="53BF5C69"/>
    <w:rsid w:val="54C45B50"/>
    <w:rsid w:val="58035B31"/>
    <w:rsid w:val="58F6185E"/>
    <w:rsid w:val="591257DC"/>
    <w:rsid w:val="5C0F0EC3"/>
    <w:rsid w:val="5CE87CC0"/>
    <w:rsid w:val="5DB22BFD"/>
    <w:rsid w:val="5DD739B2"/>
    <w:rsid w:val="5E900D37"/>
    <w:rsid w:val="5F5011B7"/>
    <w:rsid w:val="60492E1B"/>
    <w:rsid w:val="61152047"/>
    <w:rsid w:val="620467BA"/>
    <w:rsid w:val="622D2BEC"/>
    <w:rsid w:val="649C0E8F"/>
    <w:rsid w:val="65BF6566"/>
    <w:rsid w:val="665D25F4"/>
    <w:rsid w:val="6A403C00"/>
    <w:rsid w:val="6B05111E"/>
    <w:rsid w:val="6B4C7D1B"/>
    <w:rsid w:val="6C6172C5"/>
    <w:rsid w:val="6DA577A5"/>
    <w:rsid w:val="6DB87D30"/>
    <w:rsid w:val="6E804287"/>
    <w:rsid w:val="72FE75B2"/>
    <w:rsid w:val="762C29D0"/>
    <w:rsid w:val="769B60FD"/>
    <w:rsid w:val="76BD5D7B"/>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459D3F3D07CC4F0F8DE4AE32F75AC965_12</vt:lpwstr>
  </property>
</Properties>
</file>