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A8B8A">
      <w:pPr>
        <w:pStyle w:val="10"/>
        <w:ind w:firstLine="640" w:firstLineChars="200"/>
        <w:rPr>
          <w:rFonts w:ascii="Times New Roman" w:hAnsi="Times New Roman" w:eastAsia="仿宋_GB2312" w:cs="Times New Roman"/>
          <w:sz w:val="32"/>
          <w:szCs w:val="32"/>
        </w:rPr>
      </w:pPr>
      <w:bookmarkStart w:id="0" w:name="_GoBack"/>
      <w:bookmarkEnd w:id="0"/>
    </w:p>
    <w:p w14:paraId="042E6F22">
      <w:pPr>
        <w:pStyle w:val="10"/>
        <w:jc w:val="center"/>
        <w:rPr>
          <w:rFonts w:ascii="Times New Roman" w:hAnsi="Times New Roman" w:cs="Times New Roman"/>
          <w:sz w:val="44"/>
          <w:szCs w:val="44"/>
        </w:rPr>
      </w:pPr>
      <w:r>
        <w:rPr>
          <w:rFonts w:ascii="Times New Roman" w:hAnsi="Times New Roman" w:cs="Times New Roman"/>
          <w:sz w:val="44"/>
          <w:szCs w:val="44"/>
        </w:rPr>
        <w:t>防治海洋工程建设项目</w:t>
      </w:r>
    </w:p>
    <w:p w14:paraId="0E0E9D29">
      <w:pPr>
        <w:pStyle w:val="10"/>
        <w:jc w:val="center"/>
        <w:rPr>
          <w:rFonts w:ascii="Times New Roman" w:hAnsi="Times New Roman" w:cs="Times New Roman"/>
          <w:sz w:val="32"/>
          <w:szCs w:val="32"/>
        </w:rPr>
      </w:pPr>
      <w:r>
        <w:rPr>
          <w:rFonts w:ascii="Times New Roman" w:hAnsi="Times New Roman" w:cs="Times New Roman"/>
          <w:sz w:val="44"/>
          <w:szCs w:val="44"/>
        </w:rPr>
        <w:t>污染损害海洋环境管理条例</w:t>
      </w:r>
    </w:p>
    <w:p w14:paraId="3A49F81B">
      <w:pPr>
        <w:pStyle w:val="10"/>
        <w:jc w:val="both"/>
        <w:rPr>
          <w:rFonts w:ascii="Times New Roman" w:hAnsi="Times New Roman" w:cs="Times New Roman"/>
          <w:sz w:val="32"/>
          <w:szCs w:val="32"/>
        </w:rPr>
      </w:pPr>
    </w:p>
    <w:p w14:paraId="2DA98E97">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9218462">
      <w:pPr>
        <w:pStyle w:val="3"/>
        <w:rPr>
          <w:sz w:val="32"/>
          <w:szCs w:val="32"/>
        </w:rPr>
      </w:pPr>
      <w:r>
        <w:rPr>
          <w:rFonts w:ascii="Times New Roman" w:hAnsi="Times New Roman" w:cs="Times New Roman"/>
          <w:sz w:val="32"/>
          <w:szCs w:val="32"/>
        </w:rPr>
        <w:t>第一章　总则</w:t>
      </w:r>
    </w:p>
    <w:p w14:paraId="2611DA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为了防治和减轻海洋工程建设项目(以下简称海洋工程)污染损害海洋环境，维护海洋生态平衡，保护海洋资源，根据《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海洋环境保护法》，制定本条例。</w:t>
      </w:r>
    </w:p>
    <w:p w14:paraId="403166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管辖海域内从事海洋工程污染损害海洋环境防治活动，适用本条例。</w:t>
      </w:r>
    </w:p>
    <w:p w14:paraId="79B056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本条例所称海洋工程，是指以开发、利用、保护、恢复海洋资源为目的，并且工程主体位于海岸线向海一侧的新建、改建、扩建工程。具体包括：</w:t>
      </w:r>
    </w:p>
    <w:p w14:paraId="2513CC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(一)围填海、海上堤坝工程；</w:t>
      </w:r>
    </w:p>
    <w:p w14:paraId="540BE4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(二)人工岛、海上和海底物资储藏设施、跨海桥梁、海底隧道工程；</w:t>
      </w:r>
    </w:p>
    <w:p w14:paraId="4B172D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(三)海底管道、海底电(光)缆工程；</w:t>
      </w:r>
    </w:p>
    <w:p w14:paraId="15FACD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(四)海洋矿产资源勘探开发及其附属工程；</w:t>
      </w:r>
    </w:p>
    <w:p w14:paraId="7712BE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(五)海上潮汐电站、波浪电站、温差电站等海洋能源开发利用工程；</w:t>
      </w:r>
    </w:p>
    <w:p w14:paraId="6264E1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(六)大型海水养殖场、人工鱼礁工程；</w:t>
      </w:r>
    </w:p>
    <w:p w14:paraId="18FC47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(七)盐田、海水淡化等海水综合利用工程；</w:t>
      </w:r>
    </w:p>
    <w:p w14:paraId="56FF15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(八)海上娱乐及运动、景观开发工程；</w:t>
      </w:r>
    </w:p>
    <w:p w14:paraId="302C1D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(九)国家海洋主管部门会同国务院环境保护主管部门规定的其他海洋工程。</w:t>
      </w:r>
    </w:p>
    <w:p w14:paraId="7D1F36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海洋主管部门负责全国海洋工程环境保护工作的监督管理，并接受国务院环境保护主管部门的指导、协调和监督。沿海县级以上地方人民政府海洋主管部门负责本行政区域毗邻海域海洋工程环境保护工作的监督管理。</w:t>
      </w:r>
    </w:p>
    <w:p w14:paraId="113EDB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海洋工程的选址和建设应当符合海洋功能区划、海洋环境保护规划和国家有关环境保护标准，不得影响海洋功能区的环境质量或者损害相邻海域的功能。</w:t>
      </w:r>
    </w:p>
    <w:p w14:paraId="57A4BE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国家海洋主管部门根据国家重点海域污染物排海总量控制指标，分配重点海域海洋工程污染物排海控制数量。</w:t>
      </w:r>
    </w:p>
    <w:p w14:paraId="4DFF65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任何单位和个人对海洋工程污染损害海洋环境、破坏海洋生态等违法行为，都有权向海洋主管部门进行举报。</w:t>
      </w:r>
    </w:p>
    <w:p w14:paraId="361EF4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接到举报的海洋主管部门应当依法进行调查处理，并为举报人保密。</w:t>
      </w:r>
    </w:p>
    <w:p w14:paraId="49DEC9EE">
      <w:pPr>
        <w:pStyle w:val="3"/>
        <w:rPr>
          <w:sz w:val="32"/>
          <w:szCs w:val="32"/>
        </w:rPr>
      </w:pPr>
      <w:r>
        <w:rPr>
          <w:rFonts w:ascii="Times New Roman" w:hAnsi="Times New Roman" w:eastAsia="仿宋_GB2312" w:cs="Times New Roman"/>
          <w:sz w:val="32"/>
          <w:szCs w:val="32"/>
        </w:rPr>
        <w:t>第二章　环境影响评价</w:t>
      </w:r>
    </w:p>
    <w:p w14:paraId="4A4B96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国家实行海洋工程环境影响评价制度。</w:t>
      </w:r>
    </w:p>
    <w:p w14:paraId="76948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海洋工程的环境影响评价，应当以工程对海洋环境和海洋资源的影响为重点进行综合分析、预测和评估，并提出相应的生态保护措施，预防、控制或者减轻工程对海洋环境和海洋资源造成的影响和破坏。</w:t>
      </w:r>
    </w:p>
    <w:p w14:paraId="36C11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海洋工程环境影响报告书应当依据海洋工程环境影响评价技术标准及其他相关环境保护标准编制。编制环境影响报告书应当使用符合国家海洋主管部门要求的调查、监测资料。</w:t>
      </w:r>
    </w:p>
    <w:p w14:paraId="1F7D39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海洋工程环境影响报告书应当包括下列内容：</w:t>
      </w:r>
    </w:p>
    <w:p w14:paraId="241DF3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(一)工程概况；</w:t>
      </w:r>
    </w:p>
    <w:p w14:paraId="28FC51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(二)工程所在海域环境现状和相邻海域开发利用情况；</w:t>
      </w:r>
    </w:p>
    <w:p w14:paraId="52B8FE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(三)工程对海洋环境和海洋资源可能造成影响的分析、预测和评估；</w:t>
      </w:r>
    </w:p>
    <w:p w14:paraId="1F32D8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(四)工程对相邻海域功能和其他开发利用活动影响的分析及预测；</w:t>
      </w:r>
    </w:p>
    <w:p w14:paraId="0A9942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(五)工程对海洋环境影响的经济损益分析和环境风险分析；</w:t>
      </w:r>
    </w:p>
    <w:p w14:paraId="10D988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(六)拟采取的环境保护措施及其经济、技术论证；</w:t>
      </w:r>
    </w:p>
    <w:p w14:paraId="34403A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(七)公众参与情况；</w:t>
      </w:r>
    </w:p>
    <w:p w14:paraId="2AE17D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(八)环境影响评价结论。</w:t>
      </w:r>
    </w:p>
    <w:p w14:paraId="681C7B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海洋工程可能对海岸生态环境产生破坏的，其环境影响报告书中应当增加工程对近岸自然保护区等陆地生态系统影响的分析和评价。</w:t>
      </w:r>
    </w:p>
    <w:p w14:paraId="3C97FA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新建、改建、扩建海洋工程的建设单位，应当编制环境影响报告书，报有核准权的海洋主管部门核准。</w:t>
      </w:r>
    </w:p>
    <w:p w14:paraId="71C784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海洋主管部门在核准海洋工程环境影响报告书前，应当征求海事、渔业主管部门和军队环境保护部门的意见；必要时，可以举行听证会。其中，围填海工程必须举行听证会。</w:t>
      </w:r>
    </w:p>
    <w:p w14:paraId="425EB0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下列海洋工程的环境影响报告书，由国家海洋主管部门核准：</w:t>
      </w:r>
    </w:p>
    <w:p w14:paraId="3ED9C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(一)涉及国家海洋权益、国防安全等特殊性质的工程；</w:t>
      </w:r>
    </w:p>
    <w:p w14:paraId="1D92C5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(二)海洋矿产资源勘探开发及其附属工程；</w:t>
      </w:r>
    </w:p>
    <w:p w14:paraId="310105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(三)50公顷以上的填海工程，100公顷以上的围海工程；</w:t>
      </w:r>
    </w:p>
    <w:p w14:paraId="72B675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6"/>
          <w:sz w:val="32"/>
          <w:szCs w:val="32"/>
        </w:rPr>
        <w:t>潮汐电站、波浪电站、温差电站等海洋能源开发利用工程；</w:t>
      </w:r>
    </w:p>
    <w:p w14:paraId="5A199A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(五)由国务院或者国务院有关部门审批的海洋工程。</w:t>
      </w:r>
    </w:p>
    <w:p w14:paraId="7D2C4C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前款规定以外的海洋工程的环境影响报告书，由沿海县级以上地方人民政府海洋主管部门根据沿海省、自治区、直辖市人民政府规定的权限核准。</w:t>
      </w:r>
    </w:p>
    <w:p w14:paraId="43BE5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海洋工程可能造成跨区域环境影响并且有关海洋主管部门对环境影响评价结论有争议的，该工程的环境影响报告书由其共同的上一级海洋主管部门核准。</w:t>
      </w:r>
    </w:p>
    <w:p w14:paraId="3998C5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海洋主管部门应当自收到海洋工程环境影响报告书之日起60个工作日内，作出是否核准的决定，书面通知建设单位。</w:t>
      </w:r>
    </w:p>
    <w:p w14:paraId="35155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需要补充材料的，应当及时通知建设单位，核准期限从材料补齐之日起重新计算。</w:t>
      </w:r>
    </w:p>
    <w:p w14:paraId="57BA04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海洋工程环境影响报告书核准后，工程的性质、规模、地点、生产工艺或者拟采取的环境保护措施等发生重大改变的，建设单位应当重新编制环境影响报告书，报原核准该工程环境影响报告书的海洋主管部门核准；海洋工程自环境影响报告书核准之日起超过5年方开工建设的，应当在工程开工建设前，将该工程的环境影响报告书报原核准该工程环境影响报告书的海洋主管部门重新核准。</w:t>
      </w:r>
    </w:p>
    <w:p w14:paraId="03075E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建设单位可以采取招标方式确定海洋工程的环境影响评价单位。其他任何单位和个人不得为海洋工程指定环境影响评价单位。</w:t>
      </w:r>
    </w:p>
    <w:p w14:paraId="6E11BDE8">
      <w:pPr>
        <w:pStyle w:val="3"/>
        <w:bidi w:val="0"/>
      </w:pPr>
      <w:r>
        <w:t>第三章　海洋工程的污染防治</w:t>
      </w:r>
    </w:p>
    <w:p w14:paraId="1D0097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海洋工程的环境保护设施应当与主体工程同时设计、同时施工、同时投产使用。</w:t>
      </w:r>
    </w:p>
    <w:p w14:paraId="4177E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海洋工程的初步设计，应当按照环境保护设计规范和经核准的环境影响报告书的要求，编制环境保护篇章，落实环境保护措施和环境保护投资概算。</w:t>
      </w:r>
    </w:p>
    <w:p w14:paraId="0533BF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建设单位应当在海洋工程投入运行之日30个工作日前，向原核准该工程环境影响报告书的海洋主管部门申请环境保护设施的验收；海洋工程投入试运行的，应当自该工程投入试运行之日起60个工作日内，向原核准该工程环境影响报告书的海洋主管部门申请环境保护设施的验收。</w:t>
      </w:r>
    </w:p>
    <w:p w14:paraId="464F21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分期建设、分期投入运行的海洋工程，其相应的环境保护设施应当分期验收。</w:t>
      </w:r>
    </w:p>
    <w:p w14:paraId="2DEBE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海洋主管部门应当自收到环境保护设施验收申请之日起30个工作日内完成验收；验收不合格的，应当限期整改。</w:t>
      </w:r>
    </w:p>
    <w:p w14:paraId="35835F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海洋工程需要配套建设的环境保护设施未经海洋主管部门验收或者经验收不合格的，该工程不得投入运行。</w:t>
      </w:r>
    </w:p>
    <w:p w14:paraId="712201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建设单位不得擅自拆除或者闲置海洋工程的环境保护设施。</w:t>
      </w:r>
    </w:p>
    <w:p w14:paraId="4508E5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海洋工程在建设、运行过程中产生不符合经核准的环境影响报告书的情形的，建设单位应当自该情形出现之日起20个工作日内组织环境影响的后评价，根据后评价结论采取改进措施，并将后评价结论和采取的改进措施报原核准该工程环境影响报告书的海洋主管部门备案；原核准该工程环境影响报告书的海洋主管部门也可以责成建设单位进行环境影响的后评价，采取改进措施。</w:t>
      </w:r>
    </w:p>
    <w:p w14:paraId="00FF2D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严格控制围填海工程。禁止在经济生物的自然产卵场、繁殖场、索饵场和鸟类栖息地进行围填海活动。</w:t>
      </w:r>
    </w:p>
    <w:p w14:paraId="625D9C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围填海工程使用的填充材料应当符合有关环境保护标准。</w:t>
      </w:r>
    </w:p>
    <w:p w14:paraId="08F346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建设海洋工程，不得造成领海基点及其周围环境的侵蚀、淤积和损害，危及领海基点的稳定。</w:t>
      </w:r>
    </w:p>
    <w:p w14:paraId="6609FC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进行海上堤坝、跨海桥梁、海上娱乐及运动、景观开发工程建设的，应当采取有效措施防止对海岸的侵蚀或者淤积。</w:t>
      </w:r>
    </w:p>
    <w:p w14:paraId="287314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污水离岸排放工程排污口的设置应当符合海洋功能区划和海洋环境保护规划，不得损害相邻海域的功能。</w:t>
      </w:r>
    </w:p>
    <w:p w14:paraId="14E67B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污水离岸排放不得超过国家或者地方规定的排放标准。在实行污染物排海总量控制的海域，不得超过污染物排海总量控制指标。</w:t>
      </w:r>
    </w:p>
    <w:p w14:paraId="1F498B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从事海水养殖的养殖者，应当采取科学的养殖方式，减少养殖饵料对海洋环境的污染。因养殖污染海域或者严重破坏海洋景观的，养殖者应当予以恢复和整治。</w:t>
      </w:r>
    </w:p>
    <w:p w14:paraId="7028B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建设单位在海洋固体矿产资源勘探开发工程的建设、运行过程中，应当采取有效措施，防止污染物大范围悬浮扩散，破坏海洋环境。</w:t>
      </w:r>
    </w:p>
    <w:p w14:paraId="4A9348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海洋油气矿产资源勘探开发作业中应当配备油水分离设施、含油污水处理设备、排油监控装置、残油和废油回收设施、垃圾粉碎设备。</w:t>
      </w:r>
    </w:p>
    <w:p w14:paraId="4188B7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海洋油气矿产资源勘探开发作业中所使用的固定式平台、移动式平台、浮式储油装置、输油管线及其他辅助设施，应当符合防渗、防漏、防腐蚀的要求；作业单位应当经常检查，防止发生漏油事故。</w:t>
      </w:r>
    </w:p>
    <w:p w14:paraId="28357D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前款所称固定式平台和移动式平台，是指海洋油气矿产资源勘探开发作业中所使用的钻井船、钻井平台、采油平台和其他平台。</w:t>
      </w:r>
    </w:p>
    <w:p w14:paraId="157285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海洋油气矿产资源勘探开发单位应当办理有关污染损害民事责任保险。</w:t>
      </w:r>
    </w:p>
    <w:p w14:paraId="1F2560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海洋工程建设过程中需要进行海上爆破作业的，建设单位应当在爆破作业前报告海洋主管部门，海洋主管部门应当及时通报海事、渔业等有关部门。</w:t>
      </w:r>
    </w:p>
    <w:p w14:paraId="073F81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进行海上爆破作业，应当设置明显的标志、信号，并采取有效措施保护海洋资源。在重要渔业水域进行炸药爆破作业或者进行其他可能对渔业资源造成损害的作业活动的，应当避开主要经济类鱼虾的产卵期。</w:t>
      </w:r>
    </w:p>
    <w:p w14:paraId="62FC63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海洋工程需要拆除或者改作他用的，应当在作业前报原核准该工程环境影响报告书的海洋主管部门备案。拆除或者改变用途后可能产生重大环境影响的，应当进行环境影响评价。</w:t>
      </w:r>
    </w:p>
    <w:p w14:paraId="4EC43B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海洋工程需要在海上弃置的，应当拆除可能造成海洋环境污染损害或者影响海洋资源开发利用的部分，并按照有关海洋倾倒废弃物管理的规定进行。</w:t>
      </w:r>
    </w:p>
    <w:p w14:paraId="1D9FBA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海洋工程拆除时，施工单位应当编制拆除的环境保护方案，采取必要的措施，防止对海洋环境造成污染和损害。</w:t>
      </w:r>
    </w:p>
    <w:p w14:paraId="502C1CA4">
      <w:pPr>
        <w:pStyle w:val="3"/>
        <w:bidi w:val="0"/>
      </w:pPr>
      <w:r>
        <w:t>第四章　污染物排放管理</w:t>
      </w:r>
    </w:p>
    <w:p w14:paraId="6224EC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海洋油气矿产资源勘探开发作业中产生的污染物的处置，应当遵守下列规定：</w:t>
      </w:r>
    </w:p>
    <w:p w14:paraId="0C443D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(一)含油污水不得直接或者经稀释排放入海，应当经处理符合国家有关排放标准后再排放；</w:t>
      </w:r>
    </w:p>
    <w:p w14:paraId="2461A9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(二)塑料制品、残油、废油、油基泥浆、含油垃圾和其他有毒有害残液残渣，不得直接排放或者弃置入海，应当集中储存在专门容器中，运回陆地处理。</w:t>
      </w:r>
    </w:p>
    <w:p w14:paraId="2DFA5B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严格控制向水基泥浆中添加油类，确需添加的，应当如实记录并向原核准该工程环境影响报告书的海洋主管部门报告添加油的种类和数量。禁止向海域排放含油量超过国家规定标准的水基泥浆和钻屑。</w:t>
      </w:r>
    </w:p>
    <w:p w14:paraId="330803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建设单位在海洋工程试运行或者正式投入运行后，应当如实记录污染物排放设施、处理设备的运转情况及其污染物的排放、处置情况，并按照国家海洋主管部门的规定，定期向原核准该工程环境影响报告书的海洋主管部门报告。</w:t>
      </w:r>
    </w:p>
    <w:p w14:paraId="088142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县级以上人民政府海洋主管部门，应当按照各自的权限核定海洋工程排放污染物的种类、数量，根据国务院价格主管部门和财政部门制定的收费标准确定排污者应当缴纳的排污费数额。</w:t>
      </w:r>
    </w:p>
    <w:p w14:paraId="5B0CF3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排污者应当到指定的商业银行缴纳排污费。</w:t>
      </w:r>
    </w:p>
    <w:p w14:paraId="68E10C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海洋油气矿产资源勘探开发作业中应当安装污染物流量自动监控仪器，对生产污水、机舱污水和生活污水的排放进行计量。</w:t>
      </w:r>
    </w:p>
    <w:p w14:paraId="243202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禁止向海域排放油类、酸液、碱液、剧毒废液和高、中水平放射性废水；严格限制向海域排放低水平放射性废水，确需排放的，应当符合国家放射性污染防治标准。</w:t>
      </w:r>
    </w:p>
    <w:p w14:paraId="717631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严格限制向大气排放含有毒物质的气体，确需排放的，应当经过净化处理，并不得超过国家或者地方规定的排放标准；向大气排放含放射性物质的气体，应当符合国家放射性污染防治标准。</w:t>
      </w:r>
    </w:p>
    <w:p w14:paraId="3886C1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严格控制向海域排放含有不易降解的有机物和重金属的废水；其他污染物的排放应当符合国家或者地方标准。</w:t>
      </w:r>
    </w:p>
    <w:p w14:paraId="21A4C4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海洋工程排污费全额纳入财政预算，实行</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管理，并全部专项用于海洋环境污染防治。具体办法由国务院财政部门会同国家海洋主管部门制定。</w:t>
      </w:r>
    </w:p>
    <w:p w14:paraId="3212E8BE">
      <w:pPr>
        <w:pStyle w:val="3"/>
        <w:bidi w:val="0"/>
      </w:pPr>
      <w:r>
        <w:t>第五章　污染事故的预防和处理</w:t>
      </w:r>
    </w:p>
    <w:p w14:paraId="1C0ABB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建设单位应当在海洋工程正式投入运行前制定防治海洋工程污染损害海洋环境的应急预案，报原核准该工程环境影响报告书的海洋主管部门和有关主管部门备案。</w:t>
      </w:r>
    </w:p>
    <w:p w14:paraId="7411EE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防治海洋工程污染损害海洋环境的应急预案应当包括以下内容：</w:t>
      </w:r>
    </w:p>
    <w:p w14:paraId="384D9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(一)工程及其相邻海域的环境、资源状况；</w:t>
      </w:r>
    </w:p>
    <w:p w14:paraId="5824AB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(二)污染事故风险分析；</w:t>
      </w:r>
    </w:p>
    <w:p w14:paraId="13B43C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(三)应急设施的配备；</w:t>
      </w:r>
    </w:p>
    <w:p w14:paraId="7680DF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(四)污染事故的处理方案。</w:t>
      </w:r>
    </w:p>
    <w:p w14:paraId="54E838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海洋工程在建设、运行期间，由于发生事故或者其他突发性事件，造成或者可能造成海洋环境污染事故时，建设单位应当立即向可能受到污染的沿海县级以上地方人民政府海洋主管部门或者其他有关主管部门报告，并采取有效措施，减轻或者消除污染，同时通报可能受到危害的单位和个人。</w:t>
      </w:r>
    </w:p>
    <w:p w14:paraId="17D0BE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海洋主管部门或者其他有关主管部门接到报告后，应当按照污染事故分级规定及时向县级以上人民政府和上级有关主管部门报告。县级以上人民政府和有关主管部门应当按照各自的职责，立即派人赶赴现场，采取有效措施，消除或者减轻危害，对污染事故进行调查处理。</w:t>
      </w:r>
    </w:p>
    <w:p w14:paraId="70C3F1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在海洋自然保护区内进行海洋工程建设活动，应当按照国家有关海洋自然保护区的规定执行。</w:t>
      </w:r>
    </w:p>
    <w:p w14:paraId="796428CC">
      <w:pPr>
        <w:pStyle w:val="3"/>
        <w:bidi w:val="0"/>
      </w:pPr>
      <w:r>
        <w:t>第六章　监督检查</w:t>
      </w:r>
    </w:p>
    <w:p w14:paraId="625B3B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县级以上人民政府海洋主管部门负责海洋工程污染损害海洋环境防治的监督检查，对违反海洋污染防治法律、法规的行为进行查处。</w:t>
      </w:r>
    </w:p>
    <w:p w14:paraId="3CF5E7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县级以上人民政府海洋主管部门的监督检查人员应当严格按照法律、法规规定的程序和权限进行监督检查。</w:t>
      </w:r>
    </w:p>
    <w:p w14:paraId="1055D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县级以上人民政府海洋主管部门依法对海洋工程进行现场检查时，有权采取下列措施：</w:t>
      </w:r>
    </w:p>
    <w:p w14:paraId="3F4CF2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(一)要求被检查单位或者个人提供与环境保护有关的文件、证件、数据以及技术资料等，进行查阅或者复制；</w:t>
      </w:r>
    </w:p>
    <w:p w14:paraId="49FB7D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(二)要求被检查单位负责人或者相关人员就有关问题作出说明；</w:t>
      </w:r>
    </w:p>
    <w:p w14:paraId="3093F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(三)进入被检查单位的工作现场进行监测、勘查、取样检验、拍照、摄像；</w:t>
      </w:r>
    </w:p>
    <w:p w14:paraId="26F4B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(四)检查各项环境保护设施、设备和器材的安装、运行情况；</w:t>
      </w:r>
    </w:p>
    <w:p w14:paraId="092C13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(五)责令违法者停止违法活动，接受调查处理；</w:t>
      </w:r>
    </w:p>
    <w:p w14:paraId="63AABC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(六)要求违法者采取有效措施，防止污染事态扩大。</w:t>
      </w:r>
    </w:p>
    <w:p w14:paraId="15CF6B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县级以上人民政府海洋主管部门的监督检查人员进行现场执法检查时，应当出示规定的执法证件。用于执法检查、巡航监视的公务飞机、船舶和车辆应当有明显的执法标志。</w:t>
      </w:r>
    </w:p>
    <w:p w14:paraId="5780CD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被检查单位和个人应当如实提供材料，不得拒绝或者阻碍监督检查人员依法执行公务。</w:t>
      </w:r>
    </w:p>
    <w:p w14:paraId="050E6E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有关单位和个人对海洋主管部门的监督检查工作应当予以配合。</w:t>
      </w:r>
    </w:p>
    <w:p w14:paraId="3BC486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海洋主管部门对违反海洋污染防治法律、法规的行为，应当依法作出行政处理决定；有关海洋主管部门不依法作出行政处理决定的，上级海洋主管部门有权责令其依法作出行政处理决定或者直接作出行政处理决定。</w:t>
      </w:r>
    </w:p>
    <w:p w14:paraId="558B041A">
      <w:pPr>
        <w:pStyle w:val="3"/>
        <w:bidi w:val="0"/>
      </w:pPr>
      <w:r>
        <w:t>第七章　法律责任</w:t>
      </w:r>
    </w:p>
    <w:p w14:paraId="360E5E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建设单位违反本条例规定，有下列行为之一的，由负责核准该工程环境影响报告书的海洋主管部门责令停止建设、运行，限期补办手续，并处5万元以上20万元以下的罚款：</w:t>
      </w:r>
    </w:p>
    <w:p w14:paraId="7904B9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(一)环境影响报告书未经核准，擅自开工建设的；</w:t>
      </w:r>
    </w:p>
    <w:p w14:paraId="160F23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(二)海洋工程环境保护设施未申请验收或者经验收不合格即投入运行的。</w:t>
      </w:r>
    </w:p>
    <w:p w14:paraId="79602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建设单位违反本条例规定，有下列行为之一的，由原核准该工程环境影响报告书的海洋主管部门责令停止建设、运行，限期补办手续，并处5万元以上20万元以下的罚款：</w:t>
      </w:r>
    </w:p>
    <w:p w14:paraId="6DF4E1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(一)海洋工程的性质、规模、地点、生产工艺或者拟采取的环境保护措施发生重大改变，未重新编制环境影响报告书报原核准该工程环境影响报告书的海洋主管部门核准的；</w:t>
      </w:r>
    </w:p>
    <w:p w14:paraId="1F7BC3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(二)自环境影响报告书核准之日起超过5年，海洋工程方开工建设，其环境影响报告书未重新报原核准该工程环境影响报告书的海洋主管部门核准的；</w:t>
      </w:r>
    </w:p>
    <w:p w14:paraId="1E242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(三)海洋工程需要拆除或者改作他用时，未报原核准该工程环境影响报告书的海洋主管部门备案或者未按要求进行环境影响评价的。</w:t>
      </w:r>
    </w:p>
    <w:p w14:paraId="1915A5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建设单位违反本条例规定，有下列行为之一的，由原核准该工程环境影响报告书的海洋主管部门责令限期改正；逾期不改正的，责令停止运行，并处1万元以上10万元以下的罚款：</w:t>
      </w:r>
    </w:p>
    <w:p w14:paraId="63AAD0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(一)擅自拆除或者闲置环境保护设施的；</w:t>
      </w:r>
    </w:p>
    <w:p w14:paraId="2150D5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(二)未在规定时间内进行环境影响后评价或者未按要求采取整改措施的。</w:t>
      </w:r>
    </w:p>
    <w:p w14:paraId="3196D4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建设单位违反本条例规定，有下列行为之一的，由县级以上人民政府海洋主管部门责令停止建设、运行，限期恢复原状；逾期未恢复原状的，海洋主管部门可以指定具有相应资质的单位代为恢复原状，所需费用由建设单位承担，并处恢复原状所需费用1倍以上2倍以下的罚款：</w:t>
      </w:r>
    </w:p>
    <w:p w14:paraId="669995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(一)造成领海基点及其周围环境被侵蚀、淤积或者损害的；</w:t>
      </w:r>
    </w:p>
    <w:p w14:paraId="53A52B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(二)违反规定在海洋自然保护区内进行海洋工程建设活动的。</w:t>
      </w:r>
    </w:p>
    <w:p w14:paraId="20C4DD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建设单位违反本条例规定，在围填海工程中使用的填充材料不符合有关环境保护标准的，由县级以上人民政府海洋主管部门责令限期改正；逾期不改正的，责令停止建设、运行，并处5万元以上20万元以下的罚款；造成海洋环境污染事故，直接负责的主管人员和其他直接责任人员构成犯罪的，依法追究刑事责任。</w:t>
      </w:r>
    </w:p>
    <w:p w14:paraId="7A3C02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建设单位违反本条例规定，有下列行为之一的，由原核准该工程环境影响报告书的海洋主管部门责令限期改正；逾期不改正的，处1万元以上5万元以下的罚款：</w:t>
      </w:r>
    </w:p>
    <w:p w14:paraId="7526BF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(一)未按规定报告污染物排放设施、处理设备的运转情况或者污染物的排放、处置情况的；</w:t>
      </w:r>
    </w:p>
    <w:p w14:paraId="5EE1D4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(二)未按规定报告其向水基泥浆中添加油的种类和数量的；</w:t>
      </w:r>
    </w:p>
    <w:p w14:paraId="6C631B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(三)未按规定将防治海洋工程污染损害海洋环境的应急预案备案的；</w:t>
      </w:r>
    </w:p>
    <w:p w14:paraId="04C5D7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(四)在海上爆破作业前未按规定报告海洋主管部门的；</w:t>
      </w:r>
    </w:p>
    <w:p w14:paraId="39C029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(五)进行海上爆破作业时，未按规定设置明显标志、信号的。</w:t>
      </w:r>
    </w:p>
    <w:p w14:paraId="4D5D62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建设单位违反本条例规定，进行海上爆破作业时未采取有效措施保护海洋资源的，由县级以上人民政府海洋主管部门责令限期改正；逾期未改正的，处1万元以上10万元以下的罚款。</w:t>
      </w:r>
    </w:p>
    <w:p w14:paraId="3C112E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违反本条例规定，在重要渔业水域进行炸药爆破或者进行其他可能对渔业资源造成损害的作业，未避开主要经济类鱼虾产卵期的，由县级以上人民政府海洋主管部门予以警告、责令停止作业，并处5万元以上20万元以下的罚款。</w:t>
      </w:r>
    </w:p>
    <w:p w14:paraId="024E9D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海洋油气矿产资源勘探开发单位违反本条例规定向海洋排放含油污水，或者将塑料制品、残油、废油、油基泥浆、含油垃圾和其他有毒有害残液残渣直接排放或者弃置入海的，由国家海洋主管部门或者其派出机构责令限期清理，并处2万元以上20万元以下的罚款；逾期未清理的，国家海洋主管部门或者其派出机构可以指定有相应资质的单位代为清理，所需费用由海洋油气矿产资源勘探开发单位承担；造成海洋环境污染事故，直接负责的主管人员和其他直接责任人员构成犯罪的，依法追究刑事责任。</w:t>
      </w:r>
    </w:p>
    <w:p w14:paraId="0E165B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海水养殖者未按规定采取科学的养殖方式，对海洋环境造成污染或者严重影响海洋景观的，由县级以上人民政府海洋主管部门责令限期改正；逾期不改正的，责令停止养殖活动，并处清理污染或者恢复海洋景观所需费用1倍以上2倍以下的罚款。</w:t>
      </w:r>
    </w:p>
    <w:p w14:paraId="7DE089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建设单位未按本条例规定缴纳排污费的，由县级以上人民政府海洋主管部门责令限期缴纳；逾期拒不缴纳的，处应缴纳排污费数额2倍以上3倍以下的罚款。</w:t>
      </w:r>
    </w:p>
    <w:p w14:paraId="41654E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违反本条例规定，造成海洋环境污染损害的，责任者应当排除危害，赔偿损失。完全由于第三者的故意或者过失造成海洋环境污染损害的，由第三者排除危害，承担赔偿责任。</w:t>
      </w:r>
    </w:p>
    <w:p w14:paraId="325EC8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违反本条例规定，造成海洋环境污染事故，直接负责的主管人员和其他直接责任人员构成犯罪的，依法追究刑事责任。</w:t>
      </w:r>
    </w:p>
    <w:p w14:paraId="2505D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海洋主管部门的工作人员违反本条例规定，有下列情形之一的，依法给予行政处分；构成犯罪的，依法追究刑事责任：</w:t>
      </w:r>
    </w:p>
    <w:p w14:paraId="0B7BC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(一)未按规定核准海洋工程环境影响报告书的；</w:t>
      </w:r>
    </w:p>
    <w:p w14:paraId="70FFAD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(二)未按规定验收环境保护设施的；</w:t>
      </w:r>
    </w:p>
    <w:p w14:paraId="46025F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(三)未按规定对海洋环境污染事故进行报告和调查处理的；</w:t>
      </w:r>
    </w:p>
    <w:p w14:paraId="25DF91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(四)未按规定征收排污费的；</w:t>
      </w:r>
    </w:p>
    <w:p w14:paraId="682108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(五)未按规定进行监督检查的。</w:t>
      </w:r>
    </w:p>
    <w:p w14:paraId="23B0BE98">
      <w:pPr>
        <w:pStyle w:val="3"/>
        <w:bidi w:val="0"/>
      </w:pPr>
      <w:r>
        <w:t>第八章　附则</w:t>
      </w:r>
    </w:p>
    <w:p w14:paraId="38F9B9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船舶污染的防治按照国家有关法律、行政法规的规定执行。</w:t>
      </w:r>
    </w:p>
    <w:p w14:paraId="5C22F967">
      <w:pPr>
        <w:pStyle w:val="10"/>
        <w:ind w:firstLine="640" w:firstLineChars="200"/>
        <w:rPr>
          <w:rFonts w:hint="eastAsia"/>
          <w:lang w:eastAsia="zh-CN"/>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8D4A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231CE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5231CE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1D24D9"/>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AC562A5"/>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EF96277"/>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702D17"/>
    <w:rsid w:val="3CA23060"/>
    <w:rsid w:val="3CAF6F9F"/>
    <w:rsid w:val="3CDF39C7"/>
    <w:rsid w:val="3D762392"/>
    <w:rsid w:val="3DFC6899"/>
    <w:rsid w:val="3E3675FB"/>
    <w:rsid w:val="3E4263F0"/>
    <w:rsid w:val="3EEC1919"/>
    <w:rsid w:val="3F086E5D"/>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63198B"/>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C6B193E"/>
    <w:rsid w:val="5D0B40ED"/>
    <w:rsid w:val="5D101449"/>
    <w:rsid w:val="5DB22BFD"/>
    <w:rsid w:val="5DD739B2"/>
    <w:rsid w:val="5E4D7776"/>
    <w:rsid w:val="5E900D37"/>
    <w:rsid w:val="5EC4625D"/>
    <w:rsid w:val="5F5011B7"/>
    <w:rsid w:val="5F88093C"/>
    <w:rsid w:val="5F9A3DC3"/>
    <w:rsid w:val="5FDB251D"/>
    <w:rsid w:val="60492E1B"/>
    <w:rsid w:val="60FB7125"/>
    <w:rsid w:val="61152047"/>
    <w:rsid w:val="620467BA"/>
    <w:rsid w:val="622D2BEC"/>
    <w:rsid w:val="62642844"/>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14F00"/>
    <w:rsid w:val="6DB8609B"/>
    <w:rsid w:val="6DB87D30"/>
    <w:rsid w:val="6E804287"/>
    <w:rsid w:val="6EB30283"/>
    <w:rsid w:val="6F605325"/>
    <w:rsid w:val="6FAA67D8"/>
    <w:rsid w:val="705926FD"/>
    <w:rsid w:val="70817970"/>
    <w:rsid w:val="712B5699"/>
    <w:rsid w:val="71D16FC6"/>
    <w:rsid w:val="72A30A90"/>
    <w:rsid w:val="72AE5309"/>
    <w:rsid w:val="72C042BE"/>
    <w:rsid w:val="72CD2EBD"/>
    <w:rsid w:val="73160902"/>
    <w:rsid w:val="735A6A5C"/>
    <w:rsid w:val="739D53B6"/>
    <w:rsid w:val="746D1278"/>
    <w:rsid w:val="74A24545"/>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5116A5E591F547BEAC268C38AAD806AD_12</vt:lpwstr>
  </property>
</Properties>
</file>